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00" w:rsidRPr="00ED40DA" w:rsidRDefault="00963B00" w:rsidP="00963B00">
      <w:pPr>
        <w:spacing w:line="560" w:lineRule="exact"/>
        <w:ind w:firstLine="480"/>
        <w:rPr>
          <w:rFonts w:ascii="黑体" w:eastAsia="黑体" w:hAnsi="黑体" w:hint="eastAsia"/>
          <w:b/>
          <w:bCs/>
          <w:sz w:val="32"/>
          <w:szCs w:val="32"/>
        </w:rPr>
      </w:pPr>
      <w:bookmarkStart w:id="0" w:name="_Toc438197197"/>
      <w:bookmarkStart w:id="1" w:name="_Toc440219229"/>
      <w:r w:rsidRPr="00ED40DA">
        <w:rPr>
          <w:rFonts w:ascii="黑体" w:eastAsia="黑体" w:hAnsi="黑体" w:hint="eastAsia"/>
          <w:b/>
          <w:bCs/>
          <w:sz w:val="32"/>
          <w:szCs w:val="32"/>
        </w:rPr>
        <w:t>一、学院基本情况</w:t>
      </w:r>
    </w:p>
    <w:p w:rsidR="00963B00" w:rsidRPr="00ED40DA" w:rsidRDefault="00963B00" w:rsidP="00963B00">
      <w:pPr>
        <w:spacing w:line="560" w:lineRule="exact"/>
        <w:ind w:firstLine="480"/>
        <w:rPr>
          <w:rFonts w:ascii="楷体" w:eastAsia="楷体" w:hAnsi="楷体" w:hint="eastAsia"/>
          <w:b/>
          <w:bCs/>
          <w:sz w:val="32"/>
          <w:szCs w:val="32"/>
        </w:rPr>
      </w:pPr>
      <w:r w:rsidRPr="00ED40DA">
        <w:rPr>
          <w:rFonts w:ascii="楷体" w:eastAsia="楷体" w:hAnsi="楷体" w:hint="eastAsia"/>
          <w:b/>
          <w:bCs/>
          <w:sz w:val="32"/>
          <w:szCs w:val="32"/>
        </w:rPr>
        <w:t>（一）指导思想，清晰明确</w:t>
      </w:r>
    </w:p>
    <w:p w:rsidR="00963B00" w:rsidRDefault="00963B00" w:rsidP="00963B00">
      <w:pPr>
        <w:spacing w:line="560" w:lineRule="exact"/>
        <w:ind w:firstLine="480"/>
        <w:rPr>
          <w:rFonts w:ascii="仿宋_GB2312" w:eastAsia="仿宋_GB2312" w:hint="eastAsia"/>
          <w:sz w:val="32"/>
          <w:szCs w:val="32"/>
        </w:rPr>
      </w:pPr>
      <w:r>
        <w:rPr>
          <w:rFonts w:ascii="仿宋_GB2312" w:eastAsia="仿宋_GB2312" w:hint="eastAsia"/>
          <w:sz w:val="32"/>
          <w:szCs w:val="32"/>
        </w:rPr>
        <w:t>全面贯彻党的教育方针，深化教育教学改革，大力实施“质量立校、人才强校、文化塑校和特色兴校”战略，立足“创新强校工程”建设规划基础，坚持以人才培养为根本，以教学工作为中心，以专业建设为龙头，以教研科研为支撑，以师资建设为基础，坚定不移地走内涵式发展道路；坚持以立德树人为根本，以服务发展为宗旨，以促进创业就业为导向，适应经济新常态和技术技能人才成长成才需要，完善产教融合、协同育人机制，创新人才培养在模式，全面提高人才培养质量，不断增强核心竞争力，为区域经济发展提供高素质、高技术、高技能、应用型专门人才和多样化社会服务。</w:t>
      </w:r>
    </w:p>
    <w:p w:rsidR="00963B00" w:rsidRPr="00ED40DA" w:rsidRDefault="00963B00" w:rsidP="00963B00">
      <w:pPr>
        <w:spacing w:line="560" w:lineRule="exact"/>
        <w:ind w:firstLine="480"/>
        <w:rPr>
          <w:rFonts w:ascii="楷体" w:eastAsia="楷体" w:hAnsi="楷体" w:hint="eastAsia"/>
          <w:b/>
          <w:bCs/>
          <w:sz w:val="32"/>
          <w:szCs w:val="32"/>
        </w:rPr>
      </w:pPr>
      <w:r w:rsidRPr="00ED40DA">
        <w:rPr>
          <w:rFonts w:ascii="楷体" w:eastAsia="楷体" w:hAnsi="楷体" w:hint="eastAsia"/>
          <w:b/>
          <w:bCs/>
          <w:sz w:val="32"/>
          <w:szCs w:val="32"/>
        </w:rPr>
        <w:t>（二）发展定位，紧切实际</w:t>
      </w:r>
    </w:p>
    <w:p w:rsidR="00963B00" w:rsidRDefault="00963B00" w:rsidP="00963B00">
      <w:pPr>
        <w:spacing w:line="560" w:lineRule="exact"/>
        <w:ind w:firstLine="480"/>
        <w:rPr>
          <w:rFonts w:ascii="仿宋_GB2312" w:eastAsia="仿宋_GB2312" w:hAnsi="宋体" w:hint="eastAsia"/>
          <w:sz w:val="32"/>
          <w:szCs w:val="32"/>
        </w:rPr>
      </w:pPr>
      <w:r w:rsidRPr="00CF1D26">
        <w:rPr>
          <w:rFonts w:ascii="仿宋_GB2312" w:eastAsia="仿宋_GB2312" w:hAnsi="宋体" w:hint="eastAsia"/>
          <w:sz w:val="32"/>
          <w:szCs w:val="32"/>
        </w:rPr>
        <w:t>立足汕头、辐射粤东，</w:t>
      </w:r>
      <w:r>
        <w:rPr>
          <w:rFonts w:ascii="仿宋_GB2312" w:eastAsia="仿宋_GB2312" w:hAnsi="宋体" w:hint="eastAsia"/>
          <w:sz w:val="32"/>
          <w:szCs w:val="32"/>
        </w:rPr>
        <w:t>以理、工、经、管、艺等多专业协调发展的全日制高等职业教育为主，学历教育、继续教育和职业技能培训相结合，通过进一步优化资源配置和创新管理体制，形成较为成熟和规范的高职教育模式，把学院建设成为区域性高职教育省内一流，部分领域国内领先，具有国际视野，特色鲜明，社会高度认可的综合性高职院校，为创新型经济特区、东南沿海重要港口城市和粤东中心城市</w:t>
      </w:r>
      <w:r w:rsidRPr="00CE01E0">
        <w:rPr>
          <w:rFonts w:ascii="仿宋_GB2312" w:eastAsia="仿宋_GB2312" w:hAnsi="宋体" w:hint="eastAsia"/>
          <w:sz w:val="32"/>
          <w:szCs w:val="32"/>
        </w:rPr>
        <w:t>的传统优势产业、先进制造业、战略性新兴产业及现代服务业培养满足</w:t>
      </w:r>
      <w:r>
        <w:rPr>
          <w:rFonts w:ascii="仿宋_GB2312" w:eastAsia="仿宋_GB2312" w:hAnsi="宋体" w:hint="eastAsia"/>
          <w:sz w:val="32"/>
          <w:szCs w:val="32"/>
        </w:rPr>
        <w:t>职业岗位需求的，面向生产、建设、服务和管理一线的技术技能人才和技术服务支持。</w:t>
      </w:r>
    </w:p>
    <w:p w:rsidR="00963B00" w:rsidRPr="00ED40DA" w:rsidRDefault="00963B00" w:rsidP="00963B00">
      <w:pPr>
        <w:spacing w:line="560" w:lineRule="exact"/>
        <w:ind w:firstLine="480"/>
        <w:rPr>
          <w:rFonts w:ascii="楷体" w:eastAsia="楷体" w:hAnsi="楷体" w:hint="eastAsia"/>
          <w:b/>
          <w:bCs/>
          <w:sz w:val="32"/>
          <w:szCs w:val="32"/>
        </w:rPr>
      </w:pPr>
      <w:bookmarkStart w:id="2" w:name="_Toc438197198"/>
      <w:bookmarkStart w:id="3" w:name="_Toc440219230"/>
      <w:bookmarkEnd w:id="0"/>
      <w:bookmarkEnd w:id="1"/>
      <w:r w:rsidRPr="00ED40DA">
        <w:rPr>
          <w:rFonts w:ascii="楷体" w:eastAsia="楷体" w:hAnsi="楷体" w:hint="eastAsia"/>
          <w:b/>
          <w:bCs/>
          <w:sz w:val="32"/>
          <w:szCs w:val="32"/>
        </w:rPr>
        <w:t>（三）</w:t>
      </w:r>
      <w:bookmarkEnd w:id="2"/>
      <w:bookmarkEnd w:id="3"/>
      <w:r w:rsidRPr="00ED40DA">
        <w:rPr>
          <w:rFonts w:ascii="楷体" w:eastAsia="楷体" w:hAnsi="楷体" w:hint="eastAsia"/>
          <w:b/>
          <w:bCs/>
          <w:sz w:val="32"/>
          <w:szCs w:val="32"/>
        </w:rPr>
        <w:t>办学基础，坚实深厚</w:t>
      </w:r>
    </w:p>
    <w:p w:rsidR="00963B00" w:rsidRDefault="00963B00" w:rsidP="00963B00">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汕头职业技术学院（以下简称“学院”）是2002年3月经广东省人民政府批准，汕头市人民政府主办、主管，在原汕头教育学院（含汕头幼儿师范学校）、汕头商业供销学校、汕头机电学校和汕头市教师进修学校等院校合并的基础上设立的全日制普通高职院校。学院以高职教育和职业培训为主体，办学基础坚实，人文底蕴深厚，致力于为国家和地方经济社会建设提供重要的人才、智力和科技支撑。</w:t>
      </w:r>
    </w:p>
    <w:p w:rsidR="00963B00" w:rsidRDefault="00963B00" w:rsidP="00963B00">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学院现由院本部、金园校区、新津校区和东墩校区四个校区组成。设有计算机系、机电工程系、经济管理系、自然科学系、人文社科系、外语系、艺术体育系、学前教育系、思想政治理论课教学部、成人教育部、现代教育技术中心、图书馆、技能实训中心等13个教学、教辅部门。</w:t>
      </w:r>
    </w:p>
    <w:p w:rsidR="00963B00" w:rsidRPr="00ED40DA" w:rsidRDefault="00963B00" w:rsidP="00963B00">
      <w:pPr>
        <w:spacing w:line="560" w:lineRule="exact"/>
        <w:ind w:firstLine="480"/>
        <w:rPr>
          <w:rFonts w:ascii="楷体" w:eastAsia="楷体" w:hAnsi="楷体" w:hint="eastAsia"/>
          <w:b/>
          <w:bCs/>
          <w:sz w:val="32"/>
          <w:szCs w:val="32"/>
        </w:rPr>
      </w:pPr>
      <w:r w:rsidRPr="00ED40DA">
        <w:rPr>
          <w:rFonts w:ascii="楷体" w:eastAsia="楷体" w:hAnsi="楷体" w:hint="eastAsia"/>
          <w:b/>
          <w:bCs/>
          <w:sz w:val="32"/>
          <w:szCs w:val="32"/>
        </w:rPr>
        <w:t>（四）发展规模，趋于稳定</w:t>
      </w:r>
    </w:p>
    <w:p w:rsidR="00963B00" w:rsidRDefault="00963B00" w:rsidP="00963B00">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近年来，学院紧抓振兴粤东西北地区发展战略、汕头华侨经济文化合作试验区建设及21世纪海上丝绸之路建设等重大决策机遇，以“协同创新”为引领，以“创新强校工程”为依托，围绕“</w:t>
      </w:r>
      <w:r w:rsidRPr="00B61C48">
        <w:rPr>
          <w:rFonts w:ascii="仿宋_GB2312" w:eastAsia="仿宋_GB2312" w:hAnsi="宋体" w:cs="宋体" w:hint="eastAsia"/>
          <w:sz w:val="32"/>
          <w:szCs w:val="32"/>
        </w:rPr>
        <w:t>坚持依法治校，规范管理，提升执行力；建设和谐校园，营造良好的校园文化环境；加强内涵建设，全面提高教学质量；服务地方经济建设，提升学院的社会认可度</w:t>
      </w:r>
      <w:r>
        <w:rPr>
          <w:rFonts w:ascii="仿宋_GB2312" w:eastAsia="仿宋_GB2312" w:hAnsi="宋体" w:cs="宋体" w:hint="eastAsia"/>
          <w:sz w:val="32"/>
          <w:szCs w:val="32"/>
        </w:rPr>
        <w:t>”四方面工作主题，以引入国际质量管理体系ISO9001建设为抓手，坚持开门办学，走校企合作、工学结合之路，发展规模和办学质量趋于稳定。学院现有全日制在校生</w:t>
      </w:r>
      <w:r w:rsidRPr="006C5914">
        <w:rPr>
          <w:rFonts w:ascii="仿宋_GB2312" w:eastAsia="仿宋_GB2312" w:hAnsi="宋体" w:cs="宋体" w:hint="eastAsia"/>
          <w:sz w:val="32"/>
          <w:szCs w:val="32"/>
        </w:rPr>
        <w:t>11266人</w:t>
      </w:r>
      <w:r>
        <w:rPr>
          <w:rFonts w:ascii="仿宋_GB2312" w:eastAsia="仿宋_GB2312" w:hAnsi="宋体" w:cs="宋体" w:hint="eastAsia"/>
          <w:sz w:val="32"/>
          <w:szCs w:val="32"/>
        </w:rPr>
        <w:t>，共开设54个大专专业（含方向）和5个中职类专业。</w:t>
      </w:r>
    </w:p>
    <w:p w:rsidR="00963B00" w:rsidRPr="00ED40DA" w:rsidRDefault="00963B00" w:rsidP="00963B00">
      <w:pPr>
        <w:spacing w:line="560" w:lineRule="exact"/>
        <w:ind w:firstLine="480"/>
        <w:rPr>
          <w:rFonts w:ascii="楷体" w:eastAsia="楷体" w:hAnsi="楷体" w:hint="eastAsia"/>
          <w:b/>
          <w:bCs/>
          <w:sz w:val="32"/>
          <w:szCs w:val="32"/>
        </w:rPr>
      </w:pPr>
      <w:bookmarkStart w:id="4" w:name="_Toc375725151"/>
      <w:bookmarkStart w:id="5" w:name="_Toc438197199"/>
      <w:bookmarkStart w:id="6" w:name="_Toc440219231"/>
      <w:bookmarkStart w:id="7" w:name="_Toc375725145"/>
      <w:r w:rsidRPr="00ED40DA">
        <w:rPr>
          <w:rFonts w:ascii="楷体" w:eastAsia="楷体" w:hAnsi="楷体" w:hint="eastAsia"/>
          <w:b/>
          <w:bCs/>
          <w:sz w:val="32"/>
          <w:szCs w:val="32"/>
        </w:rPr>
        <w:lastRenderedPageBreak/>
        <w:t>（五）整合资源，改善办学</w:t>
      </w:r>
    </w:p>
    <w:p w:rsidR="00963B00" w:rsidRDefault="00963B00" w:rsidP="00963B00">
      <w:pPr>
        <w:spacing w:line="600" w:lineRule="exact"/>
        <w:ind w:firstLineChars="200" w:firstLine="640"/>
        <w:rPr>
          <w:rFonts w:ascii="仿宋_GB2312" w:eastAsia="仿宋_GB2312" w:hAnsi="宋体" w:cs="宋体" w:hint="eastAsia"/>
          <w:sz w:val="32"/>
          <w:szCs w:val="32"/>
        </w:rPr>
      </w:pPr>
      <w:bookmarkStart w:id="8" w:name="_Toc378672855"/>
      <w:bookmarkStart w:id="9" w:name="_Toc380005785"/>
      <w:bookmarkEnd w:id="4"/>
      <w:bookmarkEnd w:id="5"/>
      <w:bookmarkEnd w:id="6"/>
      <w:bookmarkEnd w:id="7"/>
      <w:r>
        <w:rPr>
          <w:rFonts w:ascii="仿宋_GB2312" w:eastAsia="仿宋_GB2312" w:hAnsi="宋体" w:cs="宋体" w:hint="eastAsia"/>
          <w:sz w:val="32"/>
          <w:szCs w:val="32"/>
        </w:rPr>
        <w:t>为进一步提高学院办学质量，更好适应和服务地方经济发展，学院以优化资源配置为着力点，按照打造“一校两区”的工作思路，从人员、机构、设施等方面整合学院资源，同时，加大教学设备的购置与维护投入，学院的办学条件和办学环境得到明显改善。</w:t>
      </w:r>
      <w:bookmarkEnd w:id="8"/>
      <w:bookmarkEnd w:id="9"/>
      <w:r>
        <w:rPr>
          <w:rFonts w:ascii="仿宋_GB2312" w:eastAsia="仿宋_GB2312" w:hAnsi="宋体" w:cs="宋体" w:hint="eastAsia"/>
          <w:sz w:val="32"/>
          <w:szCs w:val="32"/>
        </w:rPr>
        <w:t>学院占地632.45亩,其中，学院本部占地436.39亩，金园校区占地56.14亩，新津校区占地115.01亩，东墩校区占地24.91亩。另有位于院本部西、北侧新增发展用地619.05亩。学院总建筑面积</w:t>
      </w:r>
      <w:smartTag w:uri="urn:schemas-microsoft-com:office:smarttags" w:element="chmetcnv">
        <w:smartTagPr>
          <w:attr w:name="UnitName" w:val="平方米"/>
          <w:attr w:name="SourceValue" w:val="260875.98"/>
          <w:attr w:name="HasSpace" w:val="False"/>
          <w:attr w:name="Negative" w:val="False"/>
          <w:attr w:name="NumberType" w:val="1"/>
          <w:attr w:name="TCSC" w:val="0"/>
        </w:smartTagPr>
        <w:r>
          <w:rPr>
            <w:rFonts w:ascii="仿宋_GB2312" w:eastAsia="仿宋_GB2312" w:hAnsi="宋体" w:cs="宋体" w:hint="eastAsia"/>
            <w:sz w:val="32"/>
            <w:szCs w:val="32"/>
          </w:rPr>
          <w:t>260875.98平方米</w:t>
        </w:r>
      </w:smartTag>
      <w:r>
        <w:rPr>
          <w:rFonts w:ascii="仿宋_GB2312" w:eastAsia="仿宋_GB2312" w:hAnsi="宋体" w:cs="宋体" w:hint="eastAsia"/>
          <w:sz w:val="32"/>
          <w:szCs w:val="32"/>
        </w:rPr>
        <w:t>，其中，教学科研及辅助用房</w:t>
      </w:r>
      <w:smartTag w:uri="urn:schemas-microsoft-com:office:smarttags" w:element="chmetcnv">
        <w:smartTagPr>
          <w:attr w:name="UnitName" w:val="平方米"/>
          <w:attr w:name="SourceValue" w:val="156334.55"/>
          <w:attr w:name="HasSpace" w:val="False"/>
          <w:attr w:name="Negative" w:val="False"/>
          <w:attr w:name="NumberType" w:val="1"/>
          <w:attr w:name="TCSC" w:val="0"/>
        </w:smartTagPr>
        <w:r>
          <w:rPr>
            <w:rFonts w:ascii="仿宋_GB2312" w:eastAsia="仿宋_GB2312" w:hAnsi="宋体" w:cs="宋体" w:hint="eastAsia"/>
            <w:sz w:val="32"/>
            <w:szCs w:val="32"/>
          </w:rPr>
          <w:t>156334.55平方米</w:t>
        </w:r>
      </w:smartTag>
      <w:r>
        <w:rPr>
          <w:rFonts w:ascii="仿宋_GB2312" w:eastAsia="仿宋_GB2312" w:hAnsi="宋体" w:cs="宋体" w:hint="eastAsia"/>
          <w:sz w:val="32"/>
          <w:szCs w:val="32"/>
        </w:rPr>
        <w:t>，教学行政用房</w:t>
      </w:r>
      <w:smartTag w:uri="urn:schemas-microsoft-com:office:smarttags" w:element="chmetcnv">
        <w:smartTagPr>
          <w:attr w:name="UnitName" w:val="平方米"/>
          <w:attr w:name="SourceValue" w:val="11003.87"/>
          <w:attr w:name="HasSpace" w:val="False"/>
          <w:attr w:name="Negative" w:val="False"/>
          <w:attr w:name="NumberType" w:val="1"/>
          <w:attr w:name="TCSC" w:val="0"/>
        </w:smartTagPr>
        <w:r>
          <w:rPr>
            <w:rFonts w:ascii="仿宋_GB2312" w:eastAsia="仿宋_GB2312" w:hAnsi="宋体" w:cs="宋体" w:hint="eastAsia"/>
            <w:sz w:val="32"/>
            <w:szCs w:val="32"/>
          </w:rPr>
          <w:t>11003.87平方米</w:t>
        </w:r>
      </w:smartTag>
      <w:r>
        <w:rPr>
          <w:rFonts w:ascii="仿宋_GB2312" w:eastAsia="仿宋_GB2312" w:hAnsi="宋体" w:cs="宋体" w:hint="eastAsia"/>
          <w:sz w:val="32"/>
          <w:szCs w:val="32"/>
        </w:rPr>
        <w:t>，学生宿舍用房</w:t>
      </w:r>
      <w:smartTag w:uri="urn:schemas-microsoft-com:office:smarttags" w:element="chmetcnv">
        <w:smartTagPr>
          <w:attr w:name="UnitName" w:val="平方米"/>
          <w:attr w:name="SourceValue" w:val="71678"/>
          <w:attr w:name="HasSpace" w:val="False"/>
          <w:attr w:name="Negative" w:val="False"/>
          <w:attr w:name="NumberType" w:val="1"/>
          <w:attr w:name="TCSC" w:val="0"/>
        </w:smartTagPr>
        <w:r>
          <w:rPr>
            <w:rFonts w:ascii="仿宋_GB2312" w:eastAsia="仿宋_GB2312" w:hAnsi="宋体" w:cs="宋体"/>
            <w:sz w:val="32"/>
            <w:szCs w:val="32"/>
          </w:rPr>
          <w:t>71678</w:t>
        </w:r>
        <w:r>
          <w:rPr>
            <w:rFonts w:ascii="仿宋_GB2312" w:eastAsia="仿宋_GB2312" w:hAnsi="宋体" w:cs="宋体" w:hint="eastAsia"/>
            <w:sz w:val="32"/>
            <w:szCs w:val="32"/>
          </w:rPr>
          <w:t>平方米</w:t>
        </w:r>
      </w:smartTag>
      <w:r>
        <w:rPr>
          <w:rFonts w:ascii="仿宋_GB2312" w:eastAsia="仿宋_GB2312" w:hAnsi="宋体" w:cs="宋体" w:hint="eastAsia"/>
          <w:sz w:val="32"/>
          <w:szCs w:val="32"/>
        </w:rPr>
        <w:t>。</w:t>
      </w:r>
    </w:p>
    <w:p w:rsidR="00963B00" w:rsidRDefault="00963B00" w:rsidP="00963B00">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2015学年，学院办学经费总支出为10,789万元，其中用于教学经费支出2,289万元，占总支出的21.21%，包括教学基础设施建设498.73万元、设备采购678.46万元(其中教学仪器设备采购456.34万元)、日常教学经费支出815.21万元、教学改革及研究102.66万元、师资建设经费支出124.19万元、图书购置支出69.75万元。</w:t>
      </w:r>
    </w:p>
    <w:p w:rsidR="00963B00" w:rsidRPr="00ED40DA" w:rsidRDefault="00963B00" w:rsidP="00963B00">
      <w:pPr>
        <w:spacing w:line="560" w:lineRule="exact"/>
        <w:ind w:firstLine="480"/>
        <w:rPr>
          <w:rFonts w:ascii="楷体" w:eastAsia="楷体" w:hAnsi="楷体" w:hint="eastAsia"/>
          <w:b/>
          <w:bCs/>
          <w:sz w:val="28"/>
          <w:szCs w:val="28"/>
        </w:rPr>
      </w:pPr>
      <w:r>
        <w:rPr>
          <w:rFonts w:ascii="楷体" w:eastAsia="楷体" w:hAnsi="楷体" w:hint="eastAsia"/>
          <w:b/>
          <w:bCs/>
          <w:sz w:val="28"/>
          <w:szCs w:val="28"/>
        </w:rPr>
        <w:t xml:space="preserve"> </w:t>
      </w:r>
      <w:r w:rsidRPr="00ED40DA">
        <w:rPr>
          <w:rFonts w:ascii="楷体" w:eastAsia="楷体" w:hAnsi="楷体" w:hint="eastAsia"/>
          <w:b/>
          <w:bCs/>
          <w:sz w:val="32"/>
          <w:szCs w:val="32"/>
        </w:rPr>
        <w:t>（六）依法治校，管理规范</w:t>
      </w:r>
    </w:p>
    <w:p w:rsidR="00963B00" w:rsidRDefault="00963B00" w:rsidP="00963B00">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落实依法治校，规范管理，是近年来我院的工作重点之一。本学年，继续推进“依法治校，规范管理”工作，完成学院《章程》的编制，深化内部机构改革工作，初步建立起学院的ISO9001质量管理体系，构建起责、权、利相统一管理运行机制，进一步完善各项内部管理规章制度，为教学、</w:t>
      </w:r>
      <w:r>
        <w:rPr>
          <w:rFonts w:ascii="仿宋_GB2312" w:eastAsia="仿宋_GB2312" w:hAnsi="宋体" w:cs="宋体" w:hint="eastAsia"/>
          <w:sz w:val="32"/>
          <w:szCs w:val="32"/>
        </w:rPr>
        <w:lastRenderedPageBreak/>
        <w:t>管理、发展和提高学院的育人水平，提供科学、规范的制度保障。</w:t>
      </w:r>
    </w:p>
    <w:p w:rsidR="00963B00" w:rsidRPr="00CC2A7E" w:rsidRDefault="00963B00" w:rsidP="00963B00">
      <w:pPr>
        <w:spacing w:line="600" w:lineRule="exact"/>
        <w:ind w:firstLineChars="200" w:firstLine="640"/>
        <w:rPr>
          <w:rFonts w:ascii="楷体" w:eastAsia="楷体" w:hAnsi="楷体" w:cs="宋体" w:hint="eastAsia"/>
          <w:sz w:val="32"/>
          <w:szCs w:val="32"/>
        </w:rPr>
      </w:pPr>
      <w:r w:rsidRPr="00CC2A7E">
        <w:rPr>
          <w:rFonts w:ascii="黑体" w:eastAsia="黑体" w:hAnsi="黑体" w:cs="宋体" w:hint="eastAsia"/>
          <w:sz w:val="32"/>
          <w:szCs w:val="32"/>
        </w:rPr>
        <w:t>案例1：</w:t>
      </w:r>
      <w:r w:rsidRPr="00CC2A7E">
        <w:rPr>
          <w:rFonts w:ascii="楷体" w:eastAsia="楷体" w:hAnsi="楷体" w:cs="宋体" w:hint="eastAsia"/>
          <w:sz w:val="32"/>
          <w:szCs w:val="32"/>
        </w:rPr>
        <w:t>编制学院大学《章程》，规范办学内部运行机制</w:t>
      </w:r>
    </w:p>
    <w:p w:rsidR="00963B00" w:rsidRDefault="00963B00" w:rsidP="00963B00">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noProof/>
          <w:sz w:val="32"/>
          <w:szCs w:val="32"/>
        </w:rPr>
        <w:pict>
          <v:shapetype id="_x0000_t202" coordsize="21600,21600" o:spt="202" path="m,l,21600r21600,l21600,xe">
            <v:stroke joinstyle="miter"/>
            <v:path gradientshapeok="t" o:connecttype="rect"/>
          </v:shapetype>
          <v:shape id="_x0000_s2050" type="#_x0000_t202" style="position:absolute;left:0;text-align:left;margin-left:297pt;margin-top:7.95pt;width:170.05pt;height:210.75pt;z-index:251660288;mso-wrap-style:none" filled="f" strokecolor="white">
            <v:textbox style="mso-fit-shape-to-text:t">
              <w:txbxContent>
                <w:p w:rsidR="00963B00" w:rsidRPr="005D10EE" w:rsidRDefault="00963B00" w:rsidP="00963B00">
                  <w:r w:rsidRPr="005D10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94.25pt">
                        <v:imagedata r:id="rId6" o:title=""/>
                      </v:shape>
                    </w:pict>
                  </w:r>
                </w:p>
              </w:txbxContent>
            </v:textbox>
          </v:shape>
        </w:pict>
      </w:r>
      <w:smartTag w:uri="urn:schemas-microsoft-com:office:smarttags" w:element="chsdate">
        <w:smartTagPr>
          <w:attr w:name="Year" w:val="2015"/>
          <w:attr w:name="Month" w:val="12"/>
          <w:attr w:name="Day" w:val="25"/>
          <w:attr w:name="IsLunarDate" w:val="False"/>
          <w:attr w:name="IsROCDate" w:val="False"/>
        </w:smartTagPr>
        <w:r>
          <w:rPr>
            <w:rFonts w:ascii="仿宋_GB2312" w:eastAsia="仿宋_GB2312" w:hAnsi="宋体" w:cs="宋体" w:hint="eastAsia"/>
            <w:sz w:val="32"/>
            <w:szCs w:val="32"/>
          </w:rPr>
          <w:t>2</w:t>
        </w:r>
        <w:r w:rsidRPr="008B3C39">
          <w:rPr>
            <w:rFonts w:ascii="仿宋_GB2312" w:eastAsia="仿宋_GB2312" w:hAnsi="宋体" w:cs="宋体" w:hint="eastAsia"/>
            <w:sz w:val="32"/>
            <w:szCs w:val="32"/>
          </w:rPr>
          <w:t>015年12月25日</w:t>
        </w:r>
      </w:smartTag>
      <w:r w:rsidRPr="008B3C39">
        <w:rPr>
          <w:rFonts w:ascii="仿宋_GB2312" w:eastAsia="仿宋_GB2312" w:hAnsi="宋体" w:cs="宋体" w:hint="eastAsia"/>
          <w:sz w:val="32"/>
          <w:szCs w:val="32"/>
        </w:rPr>
        <w:t>省教育厅批准</w:t>
      </w:r>
    </w:p>
    <w:p w:rsidR="00963B00" w:rsidRDefault="00963B00" w:rsidP="00963B00">
      <w:pPr>
        <w:spacing w:line="600" w:lineRule="exact"/>
        <w:rPr>
          <w:rFonts w:ascii="仿宋_GB2312" w:eastAsia="仿宋_GB2312" w:hAnsi="宋体" w:cs="宋体" w:hint="eastAsia"/>
          <w:sz w:val="32"/>
          <w:szCs w:val="32"/>
        </w:rPr>
      </w:pPr>
      <w:r w:rsidRPr="008B3C39">
        <w:rPr>
          <w:rFonts w:ascii="仿宋_GB2312" w:eastAsia="仿宋_GB2312" w:hAnsi="宋体" w:cs="宋体" w:hint="eastAsia"/>
          <w:sz w:val="32"/>
          <w:szCs w:val="32"/>
        </w:rPr>
        <w:t>了我院《章程》，《章程》体现“党委</w:t>
      </w:r>
    </w:p>
    <w:p w:rsidR="00963B00" w:rsidRDefault="00963B00" w:rsidP="00963B00">
      <w:pPr>
        <w:spacing w:line="600" w:lineRule="exact"/>
        <w:rPr>
          <w:rFonts w:ascii="仿宋_GB2312" w:eastAsia="仿宋_GB2312" w:hAnsi="宋体" w:cs="宋体" w:hint="eastAsia"/>
          <w:sz w:val="32"/>
          <w:szCs w:val="32"/>
        </w:rPr>
      </w:pPr>
      <w:r w:rsidRPr="008B3C39">
        <w:rPr>
          <w:rFonts w:ascii="仿宋_GB2312" w:eastAsia="仿宋_GB2312" w:hAnsi="宋体" w:cs="宋体" w:hint="eastAsia"/>
          <w:sz w:val="32"/>
          <w:szCs w:val="32"/>
        </w:rPr>
        <w:t>领导、校长负责、教授治学、民主管理”</w:t>
      </w:r>
    </w:p>
    <w:p w:rsidR="00963B00" w:rsidRDefault="00963B00" w:rsidP="00963B00">
      <w:pPr>
        <w:spacing w:line="600" w:lineRule="exact"/>
        <w:rPr>
          <w:rFonts w:ascii="仿宋_GB2312" w:eastAsia="仿宋_GB2312" w:hAnsi="宋体" w:cs="宋体" w:hint="eastAsia"/>
          <w:sz w:val="32"/>
          <w:szCs w:val="32"/>
        </w:rPr>
      </w:pPr>
      <w:r w:rsidRPr="008B3C39">
        <w:rPr>
          <w:rFonts w:ascii="仿宋_GB2312" w:eastAsia="仿宋_GB2312" w:hAnsi="宋体" w:cs="宋体" w:hint="eastAsia"/>
          <w:sz w:val="32"/>
          <w:szCs w:val="32"/>
        </w:rPr>
        <w:t>特点，是我院“依法治校”的基石。</w:t>
      </w:r>
      <w:r w:rsidRPr="00CC2A7E">
        <w:rPr>
          <w:rFonts w:ascii="仿宋_GB2312" w:eastAsia="仿宋_GB2312" w:hAnsi="宋体" w:cs="宋体" w:hint="eastAsia"/>
          <w:sz w:val="32"/>
          <w:szCs w:val="32"/>
        </w:rPr>
        <w:t>明确</w:t>
      </w:r>
    </w:p>
    <w:p w:rsidR="00963B00" w:rsidRDefault="00963B00" w:rsidP="00963B00">
      <w:pPr>
        <w:spacing w:line="600" w:lineRule="exact"/>
        <w:rPr>
          <w:rFonts w:ascii="仿宋_GB2312" w:eastAsia="仿宋_GB2312" w:hAnsi="宋体" w:cs="宋体" w:hint="eastAsia"/>
          <w:sz w:val="32"/>
          <w:szCs w:val="32"/>
        </w:rPr>
      </w:pPr>
      <w:r>
        <w:rPr>
          <w:rFonts w:ascii="仿宋_GB2312" w:eastAsia="仿宋_GB2312" w:hAnsi="宋体" w:cs="宋体" w:hint="eastAsia"/>
          <w:sz w:val="32"/>
          <w:szCs w:val="32"/>
        </w:rPr>
        <w:t>学院的</w:t>
      </w:r>
      <w:r w:rsidRPr="00CC2A7E">
        <w:rPr>
          <w:rFonts w:ascii="仿宋_GB2312" w:eastAsia="仿宋_GB2312" w:hAnsi="宋体" w:cs="宋体" w:hint="eastAsia"/>
          <w:sz w:val="32"/>
          <w:szCs w:val="32"/>
        </w:rPr>
        <w:t>办学理念，理顺内外部管理机制</w:t>
      </w:r>
      <w:r>
        <w:rPr>
          <w:rFonts w:ascii="仿宋_GB2312" w:eastAsia="仿宋_GB2312" w:hAnsi="宋体" w:cs="宋体" w:hint="eastAsia"/>
          <w:sz w:val="32"/>
          <w:szCs w:val="32"/>
        </w:rPr>
        <w:t>与</w:t>
      </w:r>
    </w:p>
    <w:p w:rsidR="00963B00" w:rsidRDefault="00963B00" w:rsidP="00963B00">
      <w:pPr>
        <w:spacing w:line="600" w:lineRule="exact"/>
        <w:rPr>
          <w:rFonts w:ascii="仿宋_GB2312" w:eastAsia="仿宋_GB2312" w:hAnsi="宋体" w:cs="宋体" w:hint="eastAsia"/>
          <w:sz w:val="32"/>
          <w:szCs w:val="32"/>
        </w:rPr>
      </w:pPr>
      <w:r>
        <w:rPr>
          <w:rFonts w:ascii="仿宋_GB2312" w:eastAsia="仿宋_GB2312" w:hAnsi="宋体" w:cs="宋体" w:hint="eastAsia"/>
          <w:sz w:val="32"/>
          <w:szCs w:val="32"/>
        </w:rPr>
        <w:t>架构，为进一步推进依法治校，规范管理</w:t>
      </w:r>
    </w:p>
    <w:p w:rsidR="00963B00" w:rsidRPr="00CC2A7E" w:rsidRDefault="00963B00" w:rsidP="00963B00">
      <w:pPr>
        <w:spacing w:line="600" w:lineRule="exact"/>
        <w:rPr>
          <w:rFonts w:ascii="仿宋_GB2312" w:eastAsia="仿宋_GB2312" w:hAnsi="宋体" w:cs="宋体" w:hint="eastAsia"/>
          <w:sz w:val="32"/>
          <w:szCs w:val="32"/>
        </w:rPr>
      </w:pPr>
      <w:r>
        <w:rPr>
          <w:rFonts w:ascii="仿宋_GB2312" w:eastAsia="仿宋_GB2312" w:hAnsi="宋体" w:cs="宋体" w:hint="eastAsia"/>
          <w:sz w:val="32"/>
          <w:szCs w:val="32"/>
        </w:rPr>
        <w:t>提供了坚实的基础。</w:t>
      </w:r>
    </w:p>
    <w:p w:rsidR="003A4D87" w:rsidRDefault="003A4D87"/>
    <w:sectPr w:rsidR="003A4D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D87" w:rsidRPr="00983D7B" w:rsidRDefault="003A4D87" w:rsidP="00963B00">
      <w:pPr>
        <w:rPr>
          <w:szCs w:val="20"/>
        </w:rPr>
      </w:pPr>
      <w:r>
        <w:separator/>
      </w:r>
    </w:p>
  </w:endnote>
  <w:endnote w:type="continuationSeparator" w:id="1">
    <w:p w:rsidR="003A4D87" w:rsidRPr="00983D7B" w:rsidRDefault="003A4D87" w:rsidP="00963B00">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D87" w:rsidRPr="00983D7B" w:rsidRDefault="003A4D87" w:rsidP="00963B00">
      <w:pPr>
        <w:rPr>
          <w:szCs w:val="20"/>
        </w:rPr>
      </w:pPr>
      <w:r>
        <w:separator/>
      </w:r>
    </w:p>
  </w:footnote>
  <w:footnote w:type="continuationSeparator" w:id="1">
    <w:p w:rsidR="003A4D87" w:rsidRPr="00983D7B" w:rsidRDefault="003A4D87" w:rsidP="00963B00">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B00"/>
    <w:rsid w:val="003A4D87"/>
    <w:rsid w:val="00963B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3B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63B00"/>
    <w:rPr>
      <w:sz w:val="18"/>
      <w:szCs w:val="18"/>
    </w:rPr>
  </w:style>
  <w:style w:type="paragraph" w:styleId="a4">
    <w:name w:val="footer"/>
    <w:basedOn w:val="a"/>
    <w:link w:val="Char0"/>
    <w:uiPriority w:val="99"/>
    <w:semiHidden/>
    <w:unhideWhenUsed/>
    <w:rsid w:val="00963B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63B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2017-01-08T08:32:00Z</dcterms:created>
  <dcterms:modified xsi:type="dcterms:W3CDTF">2017-01-08T08:33:00Z</dcterms:modified>
</cp:coreProperties>
</file>