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附件1：</w:t>
      </w:r>
    </w:p>
    <w:p>
      <w:pPr>
        <w:rPr>
          <w:rFonts w:ascii="Times New Roman" w:hAnsi="Times New Roman" w:cs="Times New Roman"/>
          <w:color w:val="000000" w:themeColor="text1"/>
          <w:sz w:val="28"/>
          <w:szCs w:val="28"/>
          <w14:textFill>
            <w14:solidFill>
              <w14:schemeClr w14:val="tx1"/>
            </w14:solidFill>
          </w14:textFill>
        </w:rPr>
      </w:pPr>
    </w:p>
    <w:p>
      <w:pPr>
        <w:spacing w:line="600" w:lineRule="exact"/>
        <w:ind w:firstLine="360" w:firstLineChars="100"/>
        <w:jc w:val="center"/>
        <w:rPr>
          <w:rFonts w:ascii="Times New Roman" w:hAnsi="Times New Roman" w:eastAsia="方正小标宋简体" w:cs="Times New Roman"/>
          <w:color w:val="000000" w:themeColor="text1"/>
          <w:sz w:val="36"/>
          <w:szCs w:val="36"/>
          <w14:textFill>
            <w14:solidFill>
              <w14:schemeClr w14:val="tx1"/>
            </w14:solidFill>
          </w14:textFill>
        </w:rPr>
      </w:pPr>
      <w:r>
        <w:rPr>
          <w:rFonts w:ascii="Times New Roman" w:hAnsi="Times New Roman" w:eastAsia="方正小标宋简体" w:cs="Times New Roman"/>
          <w:color w:val="000000" w:themeColor="text1"/>
          <w:sz w:val="36"/>
          <w:szCs w:val="36"/>
          <w14:textFill>
            <w14:solidFill>
              <w14:schemeClr w14:val="tx1"/>
            </w14:solidFill>
          </w14:textFill>
        </w:rPr>
        <w:t>汕头职业技术学院银行融资合作项目需求书</w:t>
      </w:r>
    </w:p>
    <w:p>
      <w:pPr>
        <w:rPr>
          <w:rFonts w:ascii="Times New Roman" w:hAnsi="Times New Roman" w:cs="Times New Roman"/>
          <w:color w:val="000000" w:themeColor="text1"/>
          <w:sz w:val="28"/>
          <w:szCs w:val="28"/>
          <w14:textFill>
            <w14:solidFill>
              <w14:schemeClr w14:val="tx1"/>
            </w14:solidFill>
          </w14:textFill>
        </w:rPr>
      </w:pPr>
    </w:p>
    <w:p>
      <w:pPr>
        <w:ind w:firstLine="600" w:firstLineChars="200"/>
        <w:rPr>
          <w:rFonts w:ascii="Times New Roman" w:hAnsi="Times New Roman" w:eastAsia="方正黑体简体" w:cs="Times New Roman"/>
          <w:color w:val="000000" w:themeColor="text1"/>
          <w:sz w:val="30"/>
          <w:szCs w:val="30"/>
          <w14:textFill>
            <w14:solidFill>
              <w14:schemeClr w14:val="tx1"/>
            </w14:solidFill>
          </w14:textFill>
        </w:rPr>
      </w:pPr>
      <w:r>
        <w:rPr>
          <w:rFonts w:ascii="Times New Roman" w:hAnsi="Times New Roman" w:eastAsia="方正黑体简体" w:cs="Times New Roman"/>
          <w:color w:val="000000" w:themeColor="text1"/>
          <w:sz w:val="30"/>
          <w:szCs w:val="30"/>
          <w14:textFill>
            <w14:solidFill>
              <w14:schemeClr w14:val="tx1"/>
            </w14:solidFill>
          </w14:textFill>
        </w:rPr>
        <w:t>一、学校基本概况</w:t>
      </w:r>
    </w:p>
    <w:p>
      <w:pPr>
        <w:ind w:firstLine="600" w:firstLineChars="200"/>
        <w:rPr>
          <w:rFonts w:ascii="Times New Roman" w:hAnsi="Times New Roman" w:eastAsia="方正楷体简体" w:cs="Times New Roman"/>
          <w:color w:val="000000" w:themeColor="text1"/>
          <w:sz w:val="30"/>
          <w:szCs w:val="30"/>
          <w14:textFill>
            <w14:solidFill>
              <w14:schemeClr w14:val="tx1"/>
            </w14:solidFill>
          </w14:textFill>
        </w:rPr>
      </w:pPr>
      <w:r>
        <w:rPr>
          <w:rFonts w:ascii="Times New Roman" w:hAnsi="Times New Roman" w:eastAsia="方正楷体简体" w:cs="Times New Roman"/>
          <w:color w:val="000000" w:themeColor="text1"/>
          <w:sz w:val="30"/>
          <w:szCs w:val="30"/>
          <w14:textFill>
            <w14:solidFill>
              <w14:schemeClr w14:val="tx1"/>
            </w14:solidFill>
          </w14:textFill>
        </w:rPr>
        <w:t>（一）概况</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1.历史沿革</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汕头职业技术学院是一所综合类公办全日制普通高等职业技术院校，目前是粤东规模最大的一所高职院校。2002年3月经广东省人民政府批准，学院在原广东省汕头教育学院、汕头商业学校、汕头机电学校基础上合并成立；2005年5月，汕头市幼儿师范学校、汕头供销学校和汕头市教师进修学校并入学院；2019年11月，汕头市建设职业技术学校并入学院。学院办学历史追溯至今约60多年，累计培养各类人才约20万人。</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2.发展基础</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（1）占地面积：566亩（另有正在规划建设的六合校区714亩），分为4个校区，其中，院本部436亩，金园校区56亩，东墩校区25亩，新津校区49亩。</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（2）</w:t>
      </w:r>
      <w:r>
        <w:rPr>
          <w:rFonts w:hint="eastAsia" w:ascii="Times New Roman" w:hAnsi="Times New Roman" w:eastAsia="方正仿宋简体" w:cs="Times New Roman"/>
          <w:color w:val="000000" w:themeColor="text1"/>
          <w:sz w:val="30"/>
          <w:szCs w:val="30"/>
          <w14:textFill>
            <w14:solidFill>
              <w14:schemeClr w14:val="tx1"/>
            </w14:solidFill>
          </w14:textFill>
        </w:rPr>
        <w:t>教学部门</w:t>
      </w:r>
      <w:r>
        <w:rPr>
          <w:rFonts w:ascii="Times New Roman" w:hAnsi="Times New Roman" w:eastAsia="方正仿宋简体" w:cs="Times New Roman"/>
          <w:color w:val="000000" w:themeColor="text1"/>
          <w:sz w:val="30"/>
          <w:szCs w:val="30"/>
          <w14:textFill>
            <w14:solidFill>
              <w14:schemeClr w14:val="tx1"/>
            </w14:solidFill>
          </w14:textFill>
        </w:rPr>
        <w:t>：11个，包括：</w:t>
      </w:r>
      <w:r>
        <w:rPr>
          <w:rFonts w:hint="eastAsia" w:ascii="Times New Roman" w:hAnsi="Times New Roman" w:eastAsia="方正仿宋简体" w:cs="Times New Roman"/>
          <w:color w:val="000000" w:themeColor="text1"/>
          <w:sz w:val="30"/>
          <w:szCs w:val="30"/>
          <w14:textFill>
            <w14:solidFill>
              <w14:schemeClr w14:val="tx1"/>
            </w14:solidFill>
          </w14:textFill>
        </w:rPr>
        <w:t>电子信息学院、先进制造学院、财经商贸学院、应用外语学院、建设生态学院、文化旅游学院、艺术设计学院等7个二级学院；学前教育系、成人教育部、马克思主义学院和心理教育与教学部，开设专业52个</w:t>
      </w:r>
      <w:r>
        <w:rPr>
          <w:rFonts w:ascii="Times New Roman" w:hAnsi="Times New Roman" w:eastAsia="方正仿宋简体" w:cs="Times New Roman"/>
          <w:color w:val="000000" w:themeColor="text1"/>
          <w:sz w:val="30"/>
          <w:szCs w:val="30"/>
          <w14:textFill>
            <w14:solidFill>
              <w14:schemeClr w14:val="tx1"/>
            </w14:solidFill>
          </w14:textFill>
        </w:rPr>
        <w:t>，。</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（3）在校学生：现有在校大中专生</w:t>
      </w:r>
      <w:r>
        <w:rPr>
          <w:rFonts w:hint="eastAsia" w:ascii="Times New Roman" w:hAnsi="Times New Roman" w:eastAsia="方正仿宋简体" w:cs="Times New Roman"/>
          <w:color w:val="000000" w:themeColor="text1"/>
          <w:sz w:val="30"/>
          <w:szCs w:val="30"/>
          <w14:textFill>
            <w14:solidFill>
              <w14:schemeClr w14:val="tx1"/>
            </w14:solidFill>
          </w14:textFill>
        </w:rPr>
        <w:t>15690人（含高职扩招生1013人、中职生511人）。</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（4）</w:t>
      </w:r>
      <w:r>
        <w:rPr>
          <w:rFonts w:hint="eastAsia" w:ascii="Times New Roman" w:hAnsi="Times New Roman" w:eastAsia="方正仿宋简体" w:cs="Times New Roman"/>
          <w:color w:val="000000" w:themeColor="text1"/>
          <w:sz w:val="30"/>
          <w:szCs w:val="30"/>
          <w14:textFill>
            <w14:solidFill>
              <w14:schemeClr w14:val="tx1"/>
            </w14:solidFill>
          </w14:textFill>
        </w:rPr>
        <w:t>学校现有在职在编教职工650人，其中硕士学位385人，博士学位32人，硕士及以上学位占比64%，正高职称7人、副高职称99人，双师型专业课专任教师比例78.5%。同时还聘请一批实践经验丰富的企事业单位高技能人才、能工巧匠、非物质文化遗产传承人等到学校兼职任教。</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学院高举习近平新时代中国特色社会主义思想伟大旗帜，全面贯彻党的教育方针，围绕“立德树人”根本任务，秉承“知行合一·德技双馨”校训精神，实施质量立校、人才强校、文化塑校、特色兴校战略，坚持“育人为本、德育为先、能力为重、素质为要”的育人理念，着力增强受教育者的社会责任感、创新精神、实践能力，努力培养德智体美全面发展的高素质、高技能、高技术的职业化应用型人才。</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（二）学校银行账户开具、存款情况</w:t>
      </w:r>
    </w:p>
    <w:tbl>
      <w:tblPr>
        <w:tblStyle w:val="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134"/>
        <w:gridCol w:w="1701"/>
        <w:gridCol w:w="170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76" w:type="dxa"/>
            <w:vMerge w:val="restart"/>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账户性质</w:t>
            </w:r>
          </w:p>
        </w:tc>
        <w:tc>
          <w:tcPr>
            <w:tcW w:w="1134" w:type="dxa"/>
            <w:vMerge w:val="restart"/>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开户行</w:t>
            </w:r>
          </w:p>
        </w:tc>
        <w:tc>
          <w:tcPr>
            <w:tcW w:w="4962" w:type="dxa"/>
            <w:gridSpan w:val="3"/>
            <w:vAlign w:val="center"/>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日均存款（元）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76" w:type="dxa"/>
            <w:vMerge w:val="continue"/>
            <w:vAlign w:val="center"/>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p>
        </w:tc>
        <w:tc>
          <w:tcPr>
            <w:tcW w:w="1134" w:type="dxa"/>
            <w:vMerge w:val="continue"/>
            <w:vAlign w:val="center"/>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p>
        </w:tc>
        <w:tc>
          <w:tcPr>
            <w:tcW w:w="1701" w:type="dxa"/>
            <w:vAlign w:val="center"/>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2020</w:t>
            </w:r>
          </w:p>
        </w:tc>
        <w:tc>
          <w:tcPr>
            <w:tcW w:w="1701" w:type="dxa"/>
            <w:vAlign w:val="center"/>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2021</w:t>
            </w:r>
          </w:p>
        </w:tc>
        <w:tc>
          <w:tcPr>
            <w:tcW w:w="1560" w:type="dxa"/>
            <w:vAlign w:val="center"/>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76"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hint="eastAsia" w:ascii="Times New Roman" w:hAnsi="Times New Roman" w:eastAsia="方正仿宋简体" w:cs="Times New Roman"/>
                <w:bCs/>
                <w:color w:val="000000" w:themeColor="text1"/>
                <w:sz w:val="24"/>
                <w14:textFill>
                  <w14:solidFill>
                    <w14:schemeClr w14:val="tx1"/>
                  </w14:solidFill>
                </w14:textFill>
              </w:rPr>
              <w:t>基本户</w:t>
            </w:r>
          </w:p>
        </w:tc>
        <w:tc>
          <w:tcPr>
            <w:tcW w:w="1134"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hint="eastAsia" w:ascii="Times New Roman" w:hAnsi="Times New Roman" w:eastAsia="方正仿宋简体" w:cs="Times New Roman"/>
                <w:bCs/>
                <w:color w:val="000000" w:themeColor="text1"/>
                <w:sz w:val="24"/>
                <w14:textFill>
                  <w14:solidFill>
                    <w14:schemeClr w14:val="tx1"/>
                  </w14:solidFill>
                </w14:textFill>
              </w:rPr>
              <w:t>建行</w:t>
            </w:r>
          </w:p>
        </w:tc>
        <w:tc>
          <w:tcPr>
            <w:tcW w:w="1701"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2,134,646.67</w:t>
            </w:r>
          </w:p>
        </w:tc>
        <w:tc>
          <w:tcPr>
            <w:tcW w:w="1701"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3,066,570.00</w:t>
            </w:r>
          </w:p>
        </w:tc>
        <w:tc>
          <w:tcPr>
            <w:tcW w:w="1560"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6,037,150.00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76"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hint="eastAsia" w:ascii="Times New Roman" w:hAnsi="Times New Roman" w:eastAsia="方正仿宋简体" w:cs="Times New Roman"/>
                <w:bCs/>
                <w:color w:val="000000" w:themeColor="text1"/>
                <w:sz w:val="24"/>
                <w14:textFill>
                  <w14:solidFill>
                    <w14:schemeClr w14:val="tx1"/>
                  </w14:solidFill>
                </w14:textFill>
              </w:rPr>
              <w:t>缴费户3006</w:t>
            </w:r>
          </w:p>
        </w:tc>
        <w:tc>
          <w:tcPr>
            <w:tcW w:w="1134"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hint="eastAsia" w:ascii="Times New Roman" w:hAnsi="Times New Roman" w:eastAsia="方正仿宋简体" w:cs="Times New Roman"/>
                <w:bCs/>
                <w:color w:val="000000" w:themeColor="text1"/>
                <w:sz w:val="24"/>
                <w14:textFill>
                  <w14:solidFill>
                    <w14:schemeClr w14:val="tx1"/>
                  </w14:solidFill>
                </w14:textFill>
              </w:rPr>
              <w:t>建行</w:t>
            </w:r>
          </w:p>
        </w:tc>
        <w:tc>
          <w:tcPr>
            <w:tcW w:w="1701"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5,094,813.33</w:t>
            </w:r>
          </w:p>
        </w:tc>
        <w:tc>
          <w:tcPr>
            <w:tcW w:w="1701"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4,054,080.00</w:t>
            </w:r>
          </w:p>
        </w:tc>
        <w:tc>
          <w:tcPr>
            <w:tcW w:w="1560"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2,711,020.00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76"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hint="eastAsia" w:ascii="Times New Roman" w:hAnsi="Times New Roman" w:eastAsia="方正仿宋简体" w:cs="Times New Roman"/>
                <w:bCs/>
                <w:color w:val="000000" w:themeColor="text1"/>
                <w:sz w:val="24"/>
                <w14:textFill>
                  <w14:solidFill>
                    <w14:schemeClr w14:val="tx1"/>
                  </w14:solidFill>
                </w14:textFill>
              </w:rPr>
              <w:t>缴费户1800</w:t>
            </w:r>
          </w:p>
        </w:tc>
        <w:tc>
          <w:tcPr>
            <w:tcW w:w="1134"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hint="eastAsia" w:ascii="Times New Roman" w:hAnsi="Times New Roman" w:eastAsia="方正仿宋简体" w:cs="Times New Roman"/>
                <w:bCs/>
                <w:color w:val="000000" w:themeColor="text1"/>
                <w:sz w:val="24"/>
                <w14:textFill>
                  <w14:solidFill>
                    <w14:schemeClr w14:val="tx1"/>
                  </w14:solidFill>
                </w14:textFill>
              </w:rPr>
              <w:t>建行</w:t>
            </w:r>
          </w:p>
        </w:tc>
        <w:tc>
          <w:tcPr>
            <w:tcW w:w="1701"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308,210.00</w:t>
            </w:r>
          </w:p>
        </w:tc>
        <w:tc>
          <w:tcPr>
            <w:tcW w:w="1701"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370,980.00</w:t>
            </w:r>
          </w:p>
        </w:tc>
        <w:tc>
          <w:tcPr>
            <w:tcW w:w="1560"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838,440.00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76"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hint="eastAsia" w:ascii="Times New Roman" w:hAnsi="Times New Roman" w:eastAsia="方正仿宋简体" w:cs="Times New Roman"/>
                <w:bCs/>
                <w:color w:val="000000" w:themeColor="text1"/>
                <w:sz w:val="24"/>
                <w14:textFill>
                  <w14:solidFill>
                    <w14:schemeClr w14:val="tx1"/>
                  </w14:solidFill>
                </w14:textFill>
              </w:rPr>
              <w:t>工会户</w:t>
            </w:r>
          </w:p>
        </w:tc>
        <w:tc>
          <w:tcPr>
            <w:tcW w:w="1134"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hint="eastAsia" w:ascii="Times New Roman" w:hAnsi="Times New Roman" w:eastAsia="方正仿宋简体" w:cs="Times New Roman"/>
                <w:bCs/>
                <w:color w:val="000000" w:themeColor="text1"/>
                <w:sz w:val="24"/>
                <w14:textFill>
                  <w14:solidFill>
                    <w14:schemeClr w14:val="tx1"/>
                  </w14:solidFill>
                </w14:textFill>
              </w:rPr>
              <w:t>建行</w:t>
            </w:r>
          </w:p>
        </w:tc>
        <w:tc>
          <w:tcPr>
            <w:tcW w:w="1701"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374,760.00</w:t>
            </w:r>
          </w:p>
        </w:tc>
        <w:tc>
          <w:tcPr>
            <w:tcW w:w="1701"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545,833.33</w:t>
            </w:r>
          </w:p>
        </w:tc>
        <w:tc>
          <w:tcPr>
            <w:tcW w:w="1560"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746,300.00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76"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hint="eastAsia" w:ascii="Times New Roman" w:hAnsi="Times New Roman" w:eastAsia="方正仿宋简体" w:cs="Times New Roman"/>
                <w:bCs/>
                <w:color w:val="000000" w:themeColor="text1"/>
                <w:sz w:val="24"/>
                <w14:textFill>
                  <w14:solidFill>
                    <w14:schemeClr w14:val="tx1"/>
                  </w14:solidFill>
                </w14:textFill>
              </w:rPr>
              <w:t>基建户</w:t>
            </w:r>
          </w:p>
        </w:tc>
        <w:tc>
          <w:tcPr>
            <w:tcW w:w="1134"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hint="eastAsia" w:ascii="Times New Roman" w:hAnsi="Times New Roman" w:eastAsia="方正仿宋简体" w:cs="Times New Roman"/>
                <w:bCs/>
                <w:color w:val="000000" w:themeColor="text1"/>
                <w:sz w:val="24"/>
                <w14:textFill>
                  <w14:solidFill>
                    <w14:schemeClr w14:val="tx1"/>
                  </w14:solidFill>
                </w14:textFill>
              </w:rPr>
              <w:t>民生</w:t>
            </w:r>
          </w:p>
        </w:tc>
        <w:tc>
          <w:tcPr>
            <w:tcW w:w="1701"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266.67</w:t>
            </w:r>
          </w:p>
        </w:tc>
        <w:tc>
          <w:tcPr>
            <w:tcW w:w="1701"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406,580.00</w:t>
            </w:r>
          </w:p>
        </w:tc>
        <w:tc>
          <w:tcPr>
            <w:tcW w:w="1560" w:type="dxa"/>
            <w:vAlign w:val="center"/>
          </w:tcPr>
          <w:p>
            <w:pPr>
              <w:widowControl/>
              <w:spacing w:line="400" w:lineRule="exact"/>
              <w:jc w:val="center"/>
              <w:textAlignment w:val="top"/>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193,426.67</w:t>
            </w:r>
          </w:p>
        </w:tc>
      </w:tr>
    </w:tbl>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（三）教职工近三年薪资水平、银行代发工资情况</w:t>
      </w:r>
    </w:p>
    <w:tbl>
      <w:tblPr>
        <w:tblStyle w:val="6"/>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334"/>
        <w:gridCol w:w="2171"/>
        <w:gridCol w:w="2008"/>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71"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年份</w:t>
            </w:r>
          </w:p>
        </w:tc>
        <w:tc>
          <w:tcPr>
            <w:tcW w:w="1334"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代发人数</w:t>
            </w:r>
          </w:p>
        </w:tc>
        <w:tc>
          <w:tcPr>
            <w:tcW w:w="2171"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代发总量（万元）</w:t>
            </w:r>
          </w:p>
        </w:tc>
        <w:tc>
          <w:tcPr>
            <w:tcW w:w="2008"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其中：财政代发</w:t>
            </w:r>
          </w:p>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（万元）</w:t>
            </w:r>
          </w:p>
        </w:tc>
        <w:tc>
          <w:tcPr>
            <w:tcW w:w="1997" w:type="dxa"/>
            <w:vAlign w:val="center"/>
          </w:tcPr>
          <w:p>
            <w:pPr>
              <w:spacing w:line="400" w:lineRule="exact"/>
              <w:jc w:val="center"/>
              <w:rPr>
                <w:rFonts w:ascii="Times New Roman" w:hAnsi="Times New Roman" w:eastAsia="方正仿宋简体" w:cs="Times New Roman"/>
                <w:bCs/>
                <w:color w:val="000000" w:themeColor="text1"/>
                <w:sz w:val="24"/>
                <w14:textFill>
                  <w14:solidFill>
                    <w14:schemeClr w14:val="tx1"/>
                  </w14:solidFill>
                </w14:textFill>
              </w:rPr>
            </w:pPr>
            <w:r>
              <w:rPr>
                <w:rFonts w:ascii="Times New Roman" w:hAnsi="Times New Roman" w:eastAsia="方正仿宋简体" w:cs="Times New Roman"/>
                <w:bCs/>
                <w:color w:val="000000" w:themeColor="text1"/>
                <w:sz w:val="24"/>
                <w14:textFill>
                  <w14:solidFill>
                    <w14:schemeClr w14:val="tx1"/>
                  </w14:solidFill>
                </w14:textFill>
              </w:rPr>
              <w:t>银行代发（万元）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71" w:type="dxa"/>
            <w:vAlign w:val="center"/>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2020</w:t>
            </w:r>
          </w:p>
        </w:tc>
        <w:tc>
          <w:tcPr>
            <w:tcW w:w="1334"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1218</w:t>
            </w:r>
          </w:p>
        </w:tc>
        <w:tc>
          <w:tcPr>
            <w:tcW w:w="2171"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20500</w:t>
            </w:r>
          </w:p>
        </w:tc>
        <w:tc>
          <w:tcPr>
            <w:tcW w:w="2008"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4966</w:t>
            </w:r>
          </w:p>
        </w:tc>
        <w:tc>
          <w:tcPr>
            <w:tcW w:w="1997"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15534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71" w:type="dxa"/>
            <w:vAlign w:val="center"/>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2021</w:t>
            </w:r>
          </w:p>
        </w:tc>
        <w:tc>
          <w:tcPr>
            <w:tcW w:w="1334"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1228</w:t>
            </w:r>
          </w:p>
        </w:tc>
        <w:tc>
          <w:tcPr>
            <w:tcW w:w="2171"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20900</w:t>
            </w:r>
          </w:p>
        </w:tc>
        <w:tc>
          <w:tcPr>
            <w:tcW w:w="2008"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4694</w:t>
            </w:r>
          </w:p>
        </w:tc>
        <w:tc>
          <w:tcPr>
            <w:tcW w:w="1997"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16206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71" w:type="dxa"/>
            <w:vAlign w:val="center"/>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2022</w:t>
            </w:r>
          </w:p>
        </w:tc>
        <w:tc>
          <w:tcPr>
            <w:tcW w:w="1334"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1059</w:t>
            </w:r>
          </w:p>
        </w:tc>
        <w:tc>
          <w:tcPr>
            <w:tcW w:w="2171"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16900</w:t>
            </w:r>
          </w:p>
        </w:tc>
        <w:tc>
          <w:tcPr>
            <w:tcW w:w="2008"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5017</w:t>
            </w:r>
          </w:p>
        </w:tc>
        <w:tc>
          <w:tcPr>
            <w:tcW w:w="1997" w:type="dxa"/>
          </w:tcPr>
          <w:p>
            <w:pPr>
              <w:spacing w:line="400" w:lineRule="exact"/>
              <w:jc w:val="center"/>
              <w:rPr>
                <w:rFonts w:ascii="Times New Roman" w:hAnsi="Times New Roman" w:eastAsia="方正仿宋简体" w:cs="Times New Roman"/>
                <w:color w:val="000000" w:themeColor="text1"/>
                <w:sz w:val="24"/>
                <w14:textFill>
                  <w14:solidFill>
                    <w14:schemeClr w14:val="tx1"/>
                  </w14:solidFill>
                </w14:textFill>
              </w:rPr>
            </w:pPr>
            <w:r>
              <w:rPr>
                <w:rFonts w:ascii="Times New Roman" w:hAnsi="Times New Roman" w:eastAsia="方正仿宋简体" w:cs="Times New Roman"/>
                <w:color w:val="000000" w:themeColor="text1"/>
                <w:sz w:val="24"/>
                <w14:textFill>
                  <w14:solidFill>
                    <w14:schemeClr w14:val="tx1"/>
                  </w14:solidFill>
                </w14:textFill>
              </w:rPr>
              <w:t>11883</w:t>
            </w:r>
          </w:p>
        </w:tc>
      </w:tr>
    </w:tbl>
    <w:p>
      <w:pPr>
        <w:ind w:firstLine="600" w:firstLineChars="200"/>
        <w:rPr>
          <w:rFonts w:ascii="Times New Roman" w:hAnsi="Times New Roman" w:eastAsia="方正黑体简体" w:cs="Times New Roman"/>
          <w:color w:val="000000" w:themeColor="text1"/>
          <w:sz w:val="30"/>
          <w:szCs w:val="30"/>
          <w14:textFill>
            <w14:solidFill>
              <w14:schemeClr w14:val="tx1"/>
            </w14:solidFill>
          </w14:textFill>
        </w:rPr>
      </w:pPr>
      <w:r>
        <w:rPr>
          <w:rFonts w:ascii="Times New Roman" w:hAnsi="Times New Roman" w:eastAsia="方正黑体简体" w:cs="Times New Roman"/>
          <w:color w:val="000000" w:themeColor="text1"/>
          <w:sz w:val="30"/>
          <w:szCs w:val="30"/>
          <w14:textFill>
            <w14:solidFill>
              <w14:schemeClr w14:val="tx1"/>
            </w14:solidFill>
          </w14:textFill>
        </w:rPr>
        <w:t>二、项目内容</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w:t>
      </w:r>
      <w:r>
        <w:rPr>
          <w:rFonts w:ascii="Times New Roman" w:hAnsi="Times New Roman" w:eastAsia="方正仿宋简体" w:cs="Times New Roman"/>
          <w:color w:val="000000" w:themeColor="text1"/>
          <w:sz w:val="30"/>
          <w:szCs w:val="30"/>
          <w14:textFill>
            <w14:solidFill>
              <w14:schemeClr w14:val="tx1"/>
            </w14:solidFill>
          </w14:textFill>
        </w:rPr>
        <w:t>汕职院（学院）与合作银行（银行）开展合作，由合作银行作为汕职院的基本户开户行，并投资，按汕职院项目建设情况和进度分期投入，并在2025年底前完成所有学校智慧校园等“双高”考核指标要求的校园信息化建设，建设项目覆盖汕职院院本部、金园、东墩、新津4个校区，</w:t>
      </w:r>
      <w:r>
        <w:rPr>
          <w:rFonts w:hint="eastAsia" w:ascii="Times New Roman" w:hAnsi="Times New Roman" w:eastAsia="方正仿宋简体" w:cs="Times New Roman"/>
          <w:color w:val="000000" w:themeColor="text1"/>
          <w:sz w:val="30"/>
          <w:szCs w:val="30"/>
          <w14:textFill>
            <w14:solidFill>
              <w14:schemeClr w14:val="tx1"/>
            </w14:solidFill>
          </w14:textFill>
        </w:rPr>
        <w:t>能</w:t>
      </w:r>
      <w:r>
        <w:rPr>
          <w:rFonts w:ascii="Times New Roman" w:hAnsi="Times New Roman" w:eastAsia="方正仿宋简体" w:cs="Times New Roman"/>
          <w:color w:val="000000" w:themeColor="text1"/>
          <w:sz w:val="30"/>
          <w:szCs w:val="30"/>
          <w14:textFill>
            <w14:solidFill>
              <w14:schemeClr w14:val="tx1"/>
            </w14:solidFill>
          </w14:textFill>
        </w:rPr>
        <w:t>满足学校“双高”建设方面的资金投入需求。本项目合作期限10年，从合同签订之日起计算（合同于《中标通知书》发出后30个日历日内签订）。</w:t>
      </w:r>
    </w:p>
    <w:p>
      <w:pPr>
        <w:ind w:firstLine="600" w:firstLineChars="200"/>
        <w:rPr>
          <w:rFonts w:ascii="Times New Roman" w:hAnsi="Times New Roman" w:eastAsia="方正黑体简体" w:cs="Times New Roman"/>
          <w:color w:val="000000" w:themeColor="text1"/>
          <w:sz w:val="30"/>
          <w:szCs w:val="30"/>
          <w14:textFill>
            <w14:solidFill>
              <w14:schemeClr w14:val="tx1"/>
            </w14:solidFill>
          </w14:textFill>
        </w:rPr>
      </w:pPr>
      <w:r>
        <w:rPr>
          <w:rFonts w:ascii="Times New Roman" w:hAnsi="Times New Roman" w:eastAsia="方正黑体简体" w:cs="Times New Roman"/>
          <w:color w:val="000000" w:themeColor="text1"/>
          <w:sz w:val="30"/>
          <w:szCs w:val="30"/>
          <w14:textFill>
            <w14:solidFill>
              <w14:schemeClr w14:val="tx1"/>
            </w14:solidFill>
          </w14:textFill>
        </w:rPr>
        <w:t>三、商务要求</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1.合作银行负责学校学费收缴业务、人员工资代发业务、公积金代扣代缴业务、学生奖助学金代发业务及学校日常资金支付等。</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2.本项目不涉及汕职院党费专户，该业务汕职院与原开户银行合作保持不变；汕职院与中国民生银行于2021年9月签订的贷款合同，合同期满前汕职院与中国民生银行的合作关系保持不变。</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3.学校账户变更必须按程序报财政部门审批，并按照上级规定时间办理。</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4.合作银行所投资的学校信息化建设内容包括：</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（1）基础设施层建设内</w:t>
      </w:r>
      <w:bookmarkStart w:id="0" w:name="_GoBack"/>
      <w:bookmarkEnd w:id="0"/>
      <w:r>
        <w:rPr>
          <w:rFonts w:ascii="Times New Roman" w:hAnsi="Times New Roman" w:eastAsia="方正仿宋简体" w:cs="Times New Roman"/>
          <w:color w:val="000000" w:themeColor="text1"/>
          <w:sz w:val="30"/>
          <w:szCs w:val="30"/>
          <w14:textFill>
            <w14:solidFill>
              <w14:schemeClr w14:val="tx1"/>
            </w14:solidFill>
          </w14:textFill>
        </w:rPr>
        <w:t>容。主要有新数据中心机房建设、超融合云资源建设和智慧教室建设；</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（2）支撑平台层建设内容。主要有完善信息标准和规范、信息编码标准和数据交换标准，建设业务中台、数据中台；</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（3）应用平台层建设内容。主要有</w:t>
      </w:r>
      <w:r>
        <w:rPr>
          <w:rFonts w:hint="eastAsia" w:ascii="Times New Roman" w:hAnsi="Times New Roman" w:eastAsia="方正仿宋简体" w:cs="Times New Roman"/>
          <w:color w:val="000000" w:themeColor="text1"/>
          <w:sz w:val="30"/>
          <w:szCs w:val="30"/>
          <w14:textFill>
            <w14:solidFill>
              <w14:schemeClr w14:val="tx1"/>
            </w14:solidFill>
          </w14:textFill>
        </w:rPr>
        <w:t>教育事业统计平台</w:t>
      </w:r>
      <w:r>
        <w:rPr>
          <w:rFonts w:hint="eastAsia" w:ascii="Times New Roman" w:hAnsi="Times New Roman" w:eastAsia="方正仿宋简体" w:cs="Times New Roman"/>
          <w:color w:val="000000" w:themeColor="text1"/>
          <w:sz w:val="30"/>
          <w:szCs w:val="30"/>
          <w:lang w:eastAsia="zh-CN"/>
          <w14:textFill>
            <w14:solidFill>
              <w14:schemeClr w14:val="tx1"/>
            </w14:solidFill>
          </w14:textFill>
        </w:rPr>
        <w:t>、</w:t>
      </w:r>
      <w:r>
        <w:rPr>
          <w:rFonts w:hint="eastAsia" w:ascii="Times New Roman" w:hAnsi="Times New Roman" w:eastAsia="方正仿宋简体" w:cs="Times New Roman"/>
          <w:color w:val="000000" w:themeColor="text1"/>
          <w:sz w:val="30"/>
          <w:szCs w:val="30"/>
          <w:lang w:val="en-US" w:eastAsia="zh-CN"/>
          <w14:textFill>
            <w14:solidFill>
              <w14:schemeClr w14:val="tx1"/>
            </w14:solidFill>
          </w14:textFill>
        </w:rPr>
        <w:t>绩效考核综合评价系统、</w:t>
      </w:r>
      <w:r>
        <w:rPr>
          <w:rFonts w:ascii="Times New Roman" w:hAnsi="Times New Roman" w:eastAsia="方正仿宋简体" w:cs="Times New Roman"/>
          <w:color w:val="000000" w:themeColor="text1"/>
          <w:sz w:val="30"/>
          <w:szCs w:val="30"/>
          <w14:textFill>
            <w14:solidFill>
              <w14:schemeClr w14:val="tx1"/>
            </w14:solidFill>
          </w14:textFill>
        </w:rPr>
        <w:t>人事管理信息系统、和网上办事大厅扩展等建设项目。</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w:t>
      </w:r>
      <w:r>
        <w:rPr>
          <w:rFonts w:ascii="Times New Roman" w:hAnsi="Times New Roman" w:eastAsia="方正仿宋简体" w:cs="Times New Roman"/>
          <w:color w:val="000000" w:themeColor="text1"/>
          <w:sz w:val="30"/>
          <w:szCs w:val="30"/>
          <w14:textFill>
            <w14:solidFill>
              <w14:schemeClr w14:val="tx1"/>
            </w14:solidFill>
          </w14:textFill>
        </w:rPr>
        <w:t>5.合作银行须承诺按汕职院确定的信息化建设等内容，投入承诺的费用，且项目投入建设校园信息化的所有软硬件设备产权归学校所有</w:t>
      </w:r>
      <w:r>
        <w:rPr>
          <w:rFonts w:hint="eastAsia" w:ascii="Times New Roman" w:hAnsi="Times New Roman" w:eastAsia="方正仿宋简体" w:cs="Times New Roman"/>
          <w:color w:val="000000" w:themeColor="text1"/>
          <w:sz w:val="30"/>
          <w:szCs w:val="30"/>
          <w14:textFill>
            <w14:solidFill>
              <w14:schemeClr w14:val="tx1"/>
            </w14:solidFill>
          </w14:textFill>
        </w:rPr>
        <w:t>或能计入学校企业行业投入资金</w:t>
      </w:r>
      <w:r>
        <w:rPr>
          <w:rFonts w:ascii="Times New Roman" w:hAnsi="Times New Roman" w:eastAsia="方正仿宋简体" w:cs="Times New Roman"/>
          <w:color w:val="000000" w:themeColor="text1"/>
          <w:sz w:val="30"/>
          <w:szCs w:val="30"/>
          <w14:textFill>
            <w14:solidFill>
              <w14:schemeClr w14:val="tx1"/>
            </w14:solidFill>
          </w14:textFill>
        </w:rPr>
        <w:t xml:space="preserve">。 </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6.合作银行需向汕职院缴交项目履约保证金，额度为合作银行承诺对汕职院信息化建设投资总金额的3%。履约保证金应于中标通知书发出后5个工作日内支付，并于合作银行付清所承诺投资款后一个月内无息退回。</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w:t>
      </w:r>
      <w:r>
        <w:rPr>
          <w:rFonts w:ascii="Times New Roman" w:hAnsi="Times New Roman" w:eastAsia="方正仿宋简体" w:cs="Times New Roman"/>
          <w:color w:val="000000" w:themeColor="text1"/>
          <w:sz w:val="30"/>
          <w:szCs w:val="30"/>
          <w14:textFill>
            <w14:solidFill>
              <w14:schemeClr w14:val="tx1"/>
            </w14:solidFill>
          </w14:textFill>
        </w:rPr>
        <w:t>7.项目资金预计在2025年内投入完成，其中2023年和2024年上半年投资金额不得少于投入总额的97%，支付进度根据汕职院信息化建设项目进度要求支付。如合作银行未按进度支付项目资金，汕职院有权单方面解除合作合同，且已投资的资金及项目履约保证金不予退还。</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8.项目的投资资金使用流程，应以能高效、简洁满足汕职院的业务需求为目标，项目付款应于汕职院确认建设单位已履行合同并通知合作银行后一个月内完成。</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9.与合作银行自身业务有关的银行网点、银行自助设备、自助银行、卡务办理大厅装修等项目建设及后续运维费用支出不包含在本项目投资总额中，由合作银行根据自身业务发展需求另行安排资金。</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w:t>
      </w:r>
      <w:r>
        <w:rPr>
          <w:rFonts w:ascii="Times New Roman" w:hAnsi="Times New Roman" w:eastAsia="方正仿宋简体" w:cs="Times New Roman"/>
          <w:color w:val="000000" w:themeColor="text1"/>
          <w:sz w:val="30"/>
          <w:szCs w:val="30"/>
          <w14:textFill>
            <w14:solidFill>
              <w14:schemeClr w14:val="tx1"/>
            </w14:solidFill>
          </w14:textFill>
        </w:rPr>
        <w:t>10.合作银行必须根据汕职院的需要，为汕职院提供优质高效的银行服务，包括但不限于在汕职院各校区周边设置营业网点、在各校区配备银行自助终端机等，涉及到的装修、设备、水电费、物业管理费、场地管理费等费用由合作银行承担。</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11.其他商务要求：</w:t>
      </w:r>
    </w:p>
    <w:p>
      <w:pPr>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 xml:space="preserve">    合作银行为汕职院的基本户开户行，负责按规定办理汕职院结算业务，并提供包括但不限于以下的各项服务：</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（1）ATM机分布要求：各校区至少配备1台。若合作银行的ATM机不能满足学校师生需求时，必须允许其他银行ATM机进入。</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2）免收师生的银行卡首发工本费，补办卡工本费收费标准应符合政府有关收费标准，且换卡时除工本费之外不再另外收取其他费用。免收银行卡账户管理费，并提供白金卡、理财定制服务、专属贵宾通道等师生优惠服务。</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（3）提供专员负责汕职院相关业务，提供对公业务VIP通道、提供师生专柜业务处理服务。</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（4）汕职院发生的银行收付业务免手续费，政策不允许免费的按包年方式收费。</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（5）支持勤工俭学、奖助学金、零余额户、基本户工资等网银批量发放业务。</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（6）合作银行要求汕职院在其机构开立零余额账户的，合作银行需获得财政部门批准，并开发国库端口、对接国库支付系统。</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（7）实现活期存款户金额达到一定额度后，设定金额自动转存协定存款。</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（8）提供的POS机具备支付宝、微信收付功能且免手续费，若不能满足汕职院需求，汕职院有权选择满足该条件的其他合作银行的POS机。</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（9）新生批量开卡时间须在5个工作日内完成，批量开卡、发卡、激活等业务须在两周内完成。</w:t>
      </w:r>
    </w:p>
    <w:p>
      <w:pPr>
        <w:ind w:firstLine="600" w:firstLineChars="200"/>
        <w:rPr>
          <w:rFonts w:ascii="Times New Roman" w:hAnsi="Times New Roman" w:eastAsia="方正仿宋简体" w:cs="Times New Roman"/>
          <w:color w:val="000000" w:themeColor="text1"/>
          <w:sz w:val="30"/>
          <w:szCs w:val="30"/>
          <w14:textFill>
            <w14:solidFill>
              <w14:schemeClr w14:val="tx1"/>
            </w14:solidFill>
          </w14:textFill>
        </w:rPr>
      </w:pPr>
      <w:r>
        <w:rPr>
          <w:rFonts w:ascii="Times New Roman" w:hAnsi="Times New Roman" w:eastAsia="方正仿宋简体" w:cs="Times New Roman"/>
          <w:color w:val="000000" w:themeColor="text1"/>
          <w:sz w:val="30"/>
          <w:szCs w:val="30"/>
          <w14:textFill>
            <w14:solidFill>
              <w14:schemeClr w14:val="tx1"/>
            </w14:solidFill>
          </w14:textFill>
        </w:rPr>
        <w:t>(10)每年新生报到注册期间，在各校区设置收费点。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ZjQ0MjFmZjk5M2ZkZGVhZGFlYzFhOTEyNmVlMWUifQ=="/>
  </w:docVars>
  <w:rsids>
    <w:rsidRoot w:val="07555689"/>
    <w:rsid w:val="00063B48"/>
    <w:rsid w:val="000973C6"/>
    <w:rsid w:val="0011180D"/>
    <w:rsid w:val="00457951"/>
    <w:rsid w:val="004B0DAD"/>
    <w:rsid w:val="0055378E"/>
    <w:rsid w:val="00676A05"/>
    <w:rsid w:val="0069535D"/>
    <w:rsid w:val="006E6169"/>
    <w:rsid w:val="00773DFD"/>
    <w:rsid w:val="00903091"/>
    <w:rsid w:val="0094268B"/>
    <w:rsid w:val="00956368"/>
    <w:rsid w:val="00B55CA4"/>
    <w:rsid w:val="00C43579"/>
    <w:rsid w:val="00C63324"/>
    <w:rsid w:val="00D26FBB"/>
    <w:rsid w:val="00E131A7"/>
    <w:rsid w:val="00E71E86"/>
    <w:rsid w:val="02777B9B"/>
    <w:rsid w:val="042A1BCA"/>
    <w:rsid w:val="056621AB"/>
    <w:rsid w:val="07341AD0"/>
    <w:rsid w:val="07555689"/>
    <w:rsid w:val="087C1E01"/>
    <w:rsid w:val="09C33DCF"/>
    <w:rsid w:val="0AC900C6"/>
    <w:rsid w:val="0AF3003D"/>
    <w:rsid w:val="0C0D512F"/>
    <w:rsid w:val="0C42693F"/>
    <w:rsid w:val="0C566AD6"/>
    <w:rsid w:val="0CAD06C0"/>
    <w:rsid w:val="0CF45E0B"/>
    <w:rsid w:val="0D2070E4"/>
    <w:rsid w:val="0DBF6EF0"/>
    <w:rsid w:val="0E992F57"/>
    <w:rsid w:val="0FE64FBD"/>
    <w:rsid w:val="10102F09"/>
    <w:rsid w:val="1249592F"/>
    <w:rsid w:val="12FB052F"/>
    <w:rsid w:val="14A64ABE"/>
    <w:rsid w:val="17BE19D3"/>
    <w:rsid w:val="18A92C49"/>
    <w:rsid w:val="19D74D4C"/>
    <w:rsid w:val="1A3A7671"/>
    <w:rsid w:val="1A864A2A"/>
    <w:rsid w:val="1BA662C3"/>
    <w:rsid w:val="1C0320AA"/>
    <w:rsid w:val="1CD20A38"/>
    <w:rsid w:val="1D49348E"/>
    <w:rsid w:val="1D9135E0"/>
    <w:rsid w:val="1EDA2D9E"/>
    <w:rsid w:val="219A506E"/>
    <w:rsid w:val="21E87D78"/>
    <w:rsid w:val="22761828"/>
    <w:rsid w:val="249146F7"/>
    <w:rsid w:val="24F56782"/>
    <w:rsid w:val="251B19BF"/>
    <w:rsid w:val="25842358"/>
    <w:rsid w:val="25CC175F"/>
    <w:rsid w:val="2A135BAE"/>
    <w:rsid w:val="2DAA081C"/>
    <w:rsid w:val="2F6057B0"/>
    <w:rsid w:val="31193BDA"/>
    <w:rsid w:val="31216E03"/>
    <w:rsid w:val="33694AB3"/>
    <w:rsid w:val="337F42B4"/>
    <w:rsid w:val="33AA0BE4"/>
    <w:rsid w:val="372F1B4E"/>
    <w:rsid w:val="3C2974B3"/>
    <w:rsid w:val="3C3D6ABB"/>
    <w:rsid w:val="3DCD3DD2"/>
    <w:rsid w:val="3E5C76CC"/>
    <w:rsid w:val="3FC27393"/>
    <w:rsid w:val="41AF7158"/>
    <w:rsid w:val="43433935"/>
    <w:rsid w:val="43C024AB"/>
    <w:rsid w:val="44C017FA"/>
    <w:rsid w:val="47BD04C8"/>
    <w:rsid w:val="4B851502"/>
    <w:rsid w:val="50271603"/>
    <w:rsid w:val="507F4DF2"/>
    <w:rsid w:val="50E357F0"/>
    <w:rsid w:val="511743BE"/>
    <w:rsid w:val="5151566B"/>
    <w:rsid w:val="51A435DC"/>
    <w:rsid w:val="542609A7"/>
    <w:rsid w:val="5A70032F"/>
    <w:rsid w:val="5E4A0E97"/>
    <w:rsid w:val="5FB73AC3"/>
    <w:rsid w:val="619809B6"/>
    <w:rsid w:val="63691DC0"/>
    <w:rsid w:val="63F76C1B"/>
    <w:rsid w:val="643F05F8"/>
    <w:rsid w:val="654707FE"/>
    <w:rsid w:val="65753BD3"/>
    <w:rsid w:val="65DF45BB"/>
    <w:rsid w:val="666D4CF7"/>
    <w:rsid w:val="68CF6B69"/>
    <w:rsid w:val="68EC6858"/>
    <w:rsid w:val="6FF65B2A"/>
    <w:rsid w:val="70DC6DC3"/>
    <w:rsid w:val="7AC676A0"/>
    <w:rsid w:val="7AEB721A"/>
    <w:rsid w:val="7CA92159"/>
    <w:rsid w:val="7DEF1521"/>
    <w:rsid w:val="7EC3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2"/>
    <w:basedOn w:val="1"/>
    <w:next w:val="1"/>
    <w:qFormat/>
    <w:uiPriority w:val="0"/>
    <w:pPr>
      <w:ind w:left="420" w:left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5A0E0-0431-4F10-882C-AADCC63AC23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2572</Words>
  <Characters>2877</Characters>
  <Lines>21</Lines>
  <Paragraphs>5</Paragraphs>
  <TotalTime>0</TotalTime>
  <ScaleCrop>false</ScaleCrop>
  <LinksUpToDate>false</LinksUpToDate>
  <CharactersWithSpaces>2882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2022-02-23T09:29:00Z</dcterms:created>
  <dc:creator>Administrator</dc:creator>
  <cp:lastModifiedBy>瑾</cp:lastModifiedBy>
  <dcterms:modified xsi:type="dcterms:W3CDTF">2023-06-14T00:10:14Z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B11E559E73D64F22BCBA13E65C0F16C0</vt:lpwstr>
  </property>
</Properties>
</file>