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1"/>
          <w:numId w:val="0"/>
        </w:numPr>
        <w:spacing w:before="156" w:after="156"/>
        <w:jc w:val="left"/>
        <w:rPr>
          <w:rFonts w:hint="default" w:eastAsiaTheme="majorEastAsia"/>
          <w:sz w:val="36"/>
          <w:szCs w:val="36"/>
          <w:lang w:val="en-US" w:eastAsia="zh-CN"/>
        </w:rPr>
      </w:pPr>
      <w:bookmarkStart w:id="0" w:name="_Toc84596711"/>
      <w:bookmarkStart w:id="28" w:name="_GoBack"/>
      <w:bookmarkEnd w:id="28"/>
      <w:r>
        <w:rPr>
          <w:rFonts w:hint="eastAsia"/>
          <w:sz w:val="36"/>
          <w:szCs w:val="36"/>
          <w:lang w:val="en-US" w:eastAsia="zh-CN"/>
        </w:rPr>
        <w:t>附件2：</w:t>
      </w:r>
    </w:p>
    <w:p>
      <w:pPr>
        <w:pStyle w:val="3"/>
        <w:numPr>
          <w:ilvl w:val="1"/>
          <w:numId w:val="0"/>
        </w:numPr>
        <w:spacing w:before="156" w:after="156"/>
        <w:jc w:val="center"/>
        <w:rPr>
          <w:rFonts w:hint="default" w:eastAsiaTheme="maj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汕头职业技术学院“创新强校工程”数字化校园建设项目延保</w:t>
      </w:r>
      <w:r>
        <w:rPr>
          <w:rFonts w:hint="eastAsia"/>
          <w:sz w:val="36"/>
          <w:szCs w:val="36"/>
          <w:lang w:val="en-US" w:eastAsia="zh-CN"/>
        </w:rPr>
        <w:t>需求书</w:t>
      </w:r>
    </w:p>
    <w:p>
      <w:pPr>
        <w:pStyle w:val="3"/>
        <w:numPr>
          <w:ilvl w:val="0"/>
          <w:numId w:val="2"/>
        </w:numPr>
        <w:spacing w:before="156" w:after="156"/>
        <w:ind w:left="-420" w:leftChars="0" w:firstLine="420" w:firstLineChars="0"/>
      </w:pPr>
      <w:r>
        <w:t>项目名称</w:t>
      </w:r>
      <w:bookmarkEnd w:id="0"/>
    </w:p>
    <w:p>
      <w:pPr>
        <w:spacing w:before="156" w:after="156"/>
        <w:ind w:left="480" w:leftChars="200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/>
          <w:highlight w:val="none"/>
        </w:rPr>
        <w:t>汕头职业技术学院“创新强校工程”数字化校园建设项目延保</w:t>
      </w:r>
      <w:r>
        <w:rPr>
          <w:rFonts w:hint="eastAsia"/>
          <w:highlight w:val="none"/>
          <w:lang w:val="en-US" w:eastAsia="zh-CN"/>
        </w:rPr>
        <w:t>项目</w:t>
      </w:r>
    </w:p>
    <w:p>
      <w:pPr>
        <w:pStyle w:val="3"/>
        <w:numPr>
          <w:ilvl w:val="0"/>
          <w:numId w:val="2"/>
        </w:numPr>
        <w:spacing w:before="156" w:after="156"/>
        <w:ind w:left="-420" w:leftChars="0" w:firstLine="420" w:firstLineChars="0"/>
        <w:rPr>
          <w:highlight w:val="none"/>
        </w:rPr>
      </w:pPr>
      <w:bookmarkStart w:id="1" w:name="_Toc84596712"/>
      <w:r>
        <w:rPr>
          <w:highlight w:val="none"/>
        </w:rPr>
        <w:t>项目背景</w:t>
      </w:r>
      <w:bookmarkEnd w:id="1"/>
      <w:r>
        <w:rPr>
          <w:rFonts w:hint="eastAsia"/>
          <w:highlight w:val="none"/>
          <w:lang w:val="en-US" w:eastAsia="zh-CN"/>
        </w:rPr>
        <w:t>和现状说明</w:t>
      </w:r>
    </w:p>
    <w:p>
      <w:pPr>
        <w:spacing w:before="156" w:after="156"/>
        <w:ind w:firstLine="480" w:firstLineChars="20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</w:rPr>
        <w:t>汕头职业技术学院“创新强校工程”数字化校园建设项目</w:t>
      </w:r>
      <w:r>
        <w:rPr>
          <w:highlight w:val="none"/>
        </w:rPr>
        <w:t>于20</w:t>
      </w:r>
      <w:r>
        <w:rPr>
          <w:rFonts w:hint="eastAsia"/>
          <w:highlight w:val="none"/>
          <w:lang w:val="en-US" w:eastAsia="zh-CN"/>
        </w:rPr>
        <w:t>20</w:t>
      </w:r>
      <w:r>
        <w:rPr>
          <w:highlight w:val="none"/>
        </w:rPr>
        <w:t>年</w:t>
      </w:r>
      <w:r>
        <w:rPr>
          <w:rFonts w:hint="eastAsia"/>
          <w:highlight w:val="none"/>
          <w:lang w:val="en-US" w:eastAsia="zh-CN"/>
        </w:rPr>
        <w:t>底</w:t>
      </w:r>
      <w:r>
        <w:rPr>
          <w:highlight w:val="none"/>
        </w:rPr>
        <w:t>竣工</w:t>
      </w:r>
      <w:r>
        <w:rPr>
          <w:rFonts w:hint="eastAsia"/>
          <w:highlight w:val="none"/>
        </w:rPr>
        <w:t>，整个项目自验收之日起质保期</w:t>
      </w:r>
      <w:r>
        <w:rPr>
          <w:rFonts w:hint="eastAsia"/>
          <w:highlight w:val="none"/>
          <w:lang w:val="en-US" w:eastAsia="zh-CN"/>
        </w:rPr>
        <w:t>三</w:t>
      </w:r>
      <w:r>
        <w:rPr>
          <w:rFonts w:hint="eastAsia"/>
          <w:highlight w:val="none"/>
        </w:rPr>
        <w:t>年</w:t>
      </w:r>
      <w:r>
        <w:rPr>
          <w:rFonts w:hint="eastAsia" w:ascii="宋体" w:hAnsi="宋体"/>
          <w:szCs w:val="21"/>
          <w:highlight w:val="none"/>
          <w:lang w:val="hr-HR"/>
        </w:rPr>
        <w:t>。</w:t>
      </w:r>
      <w:r>
        <w:rPr>
          <w:rFonts w:hint="eastAsia"/>
          <w:highlight w:val="none"/>
        </w:rPr>
        <w:t>目前项目运维期</w:t>
      </w:r>
      <w:r>
        <w:rPr>
          <w:rFonts w:hint="eastAsia"/>
          <w:highlight w:val="none"/>
          <w:lang w:val="en-US" w:eastAsia="zh-CN"/>
        </w:rPr>
        <w:t>将近</w:t>
      </w:r>
      <w:r>
        <w:rPr>
          <w:rFonts w:hint="eastAsia"/>
          <w:highlight w:val="none"/>
        </w:rPr>
        <w:t>完结。</w:t>
      </w:r>
      <w:r>
        <w:rPr>
          <w:rFonts w:hint="eastAsia"/>
          <w:highlight w:val="none"/>
          <w:lang w:val="en-US" w:eastAsia="zh-CN"/>
        </w:rPr>
        <w:t>该项目主要建设：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>数</w:t>
      </w:r>
      <w:r>
        <w:rPr>
          <w:rFonts w:hint="eastAsia"/>
          <w:highlight w:val="none"/>
          <w:lang w:val="en-US" w:eastAsia="zh-CN"/>
        </w:rPr>
        <w:t>字校园软件系统升级、网络系统升级改造、综合布线系统改造（非信息化）三项内容，具体建设内容如下：</w:t>
      </w:r>
    </w:p>
    <w:tbl>
      <w:tblPr>
        <w:tblStyle w:val="22"/>
        <w:tblW w:w="852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6"/>
        <w:gridCol w:w="1900"/>
        <w:gridCol w:w="604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单项系统</w:t>
            </w:r>
          </w:p>
        </w:tc>
        <w:tc>
          <w:tcPr>
            <w:tcW w:w="6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系统内容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数字校园软件系统</w:t>
            </w:r>
          </w:p>
        </w:tc>
        <w:tc>
          <w:tcPr>
            <w:tcW w:w="6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建设信息标准、信息门户系统、统一身份认证系统、公共数据交换系统、教务综合管理系统、学生综合服务系统、一站式办事服务大厅系统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5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网络系统升级改造</w:t>
            </w:r>
          </w:p>
        </w:tc>
        <w:tc>
          <w:tcPr>
            <w:tcW w:w="6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网络系统升级：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对学院本部校区网络核心交换机更换升级，与汇聚交换机互联接口升级为万兆，汇聚交换机更换升级为带万兆接口机型，与核心交换机互联接口实现万兆。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说明：该部分已由其它项目运维，不纳入本项目运维范围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网络安全防护：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更换防火墙、网络行为管理以满足带宽负载增长的需求，增加内网防火墙保护内网区域的安全。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网络运行维护系统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实现网络运行状态的实时监控，提高维护工作的效率，确保网络安全、可靠。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4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虚拟化服务器系统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建设虚拟服务器，配套相关的虚拟化软件平台。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综合布线系统改造（非信息化部分）</w:t>
            </w:r>
          </w:p>
        </w:tc>
        <w:tc>
          <w:tcPr>
            <w:tcW w:w="604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各布放一条光纤至体育操场、图书馆，作为这两个地点的主干。</w:t>
            </w:r>
          </w:p>
        </w:tc>
      </w:tr>
    </w:tbl>
    <w:p>
      <w:pPr>
        <w:spacing w:before="156" w:after="156"/>
        <w:ind w:firstLine="48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且在该项目建设和运维期间，因业务需求，学院又通过若干零星项目采购了一批网络安全设备，</w:t>
      </w:r>
      <w:r>
        <w:rPr>
          <w:rFonts w:hint="eastAsia" w:ascii="宋体" w:hAnsi="宋体" w:eastAsia="宋体" w:cs="宋体"/>
          <w:lang w:val="en-US" w:eastAsia="zh-CN"/>
        </w:rPr>
        <w:t>包括：资源统一管理平台、日志审计系统(行为审计)、日志审计系统(探针)、堡垒机、数据库审计系统和漏洞扫描系统。目前此批网络安全设备也都过了质保期。</w:t>
      </w:r>
    </w:p>
    <w:p>
      <w:pPr>
        <w:pStyle w:val="3"/>
        <w:numPr>
          <w:ilvl w:val="0"/>
          <w:numId w:val="2"/>
        </w:numPr>
        <w:spacing w:before="156" w:after="156"/>
        <w:ind w:left="-420" w:leftChars="0" w:firstLine="420" w:firstLineChars="0"/>
      </w:pPr>
      <w:bookmarkStart w:id="2" w:name="_Toc84596716"/>
      <w:r>
        <w:rPr>
          <w:rFonts w:hint="eastAsia"/>
        </w:rPr>
        <w:t>延保</w:t>
      </w:r>
      <w:bookmarkEnd w:id="2"/>
      <w:r>
        <w:rPr>
          <w:rFonts w:hint="eastAsia"/>
          <w:lang w:val="en-US" w:eastAsia="zh-CN"/>
        </w:rPr>
        <w:t>要求</w:t>
      </w:r>
    </w:p>
    <w:p>
      <w:pPr>
        <w:pStyle w:val="37"/>
        <w:keepNext/>
        <w:keepLines/>
        <w:numPr>
          <w:ilvl w:val="0"/>
          <w:numId w:val="3"/>
        </w:numPr>
        <w:spacing w:before="156" w:after="156" w:line="416" w:lineRule="auto"/>
        <w:ind w:firstLineChars="0"/>
        <w:outlineLvl w:val="1"/>
        <w:rPr>
          <w:rFonts w:asciiTheme="majorHAnsi" w:hAnsiTheme="majorHAnsi" w:eastAsiaTheme="majorEastAsia" w:cstheme="majorBidi"/>
          <w:b/>
          <w:bCs/>
          <w:vanish/>
          <w:sz w:val="32"/>
          <w:szCs w:val="32"/>
        </w:rPr>
      </w:pPr>
      <w:bookmarkStart w:id="3" w:name="_Toc68793207"/>
      <w:bookmarkEnd w:id="3"/>
      <w:bookmarkStart w:id="4" w:name="_Toc68768003"/>
      <w:bookmarkEnd w:id="4"/>
      <w:bookmarkStart w:id="5" w:name="_Toc82875983"/>
      <w:bookmarkEnd w:id="5"/>
      <w:bookmarkStart w:id="6" w:name="_Toc75963833"/>
      <w:bookmarkEnd w:id="6"/>
      <w:bookmarkStart w:id="7" w:name="_Toc84596717"/>
      <w:bookmarkEnd w:id="7"/>
      <w:bookmarkStart w:id="8" w:name="_Toc75964101"/>
      <w:bookmarkEnd w:id="8"/>
      <w:bookmarkStart w:id="9" w:name="_Toc83225448"/>
      <w:bookmarkEnd w:id="9"/>
      <w:bookmarkStart w:id="10" w:name="_Toc68768135"/>
      <w:bookmarkEnd w:id="10"/>
    </w:p>
    <w:p>
      <w:pPr>
        <w:pStyle w:val="37"/>
        <w:keepNext/>
        <w:keepLines/>
        <w:numPr>
          <w:ilvl w:val="0"/>
          <w:numId w:val="3"/>
        </w:numPr>
        <w:spacing w:before="156" w:after="156" w:line="416" w:lineRule="auto"/>
        <w:ind w:firstLineChars="0"/>
        <w:outlineLvl w:val="1"/>
        <w:rPr>
          <w:rFonts w:asciiTheme="majorHAnsi" w:hAnsiTheme="majorHAnsi" w:eastAsiaTheme="majorEastAsia" w:cstheme="majorBidi"/>
          <w:b/>
          <w:bCs/>
          <w:vanish/>
          <w:sz w:val="32"/>
          <w:szCs w:val="32"/>
        </w:rPr>
      </w:pPr>
      <w:bookmarkStart w:id="11" w:name="_Toc84596718"/>
      <w:bookmarkEnd w:id="11"/>
    </w:p>
    <w:p>
      <w:pPr>
        <w:pStyle w:val="3"/>
        <w:numPr>
          <w:ilvl w:val="0"/>
          <w:numId w:val="4"/>
        </w:numPr>
        <w:spacing w:before="156" w:after="156"/>
        <w:ind w:left="905" w:leftChars="0" w:hanging="425" w:firstLineChars="0"/>
      </w:pPr>
      <w:bookmarkStart w:id="12" w:name="_Toc84596719"/>
      <w:r>
        <w:t>延保范围</w:t>
      </w:r>
      <w:bookmarkEnd w:id="12"/>
    </w:p>
    <w:p>
      <w:pPr>
        <w:spacing w:before="156" w:after="156"/>
        <w:ind w:firstLine="480" w:firstLineChars="200"/>
        <w:rPr>
          <w:rFonts w:hint="default" w:eastAsiaTheme="minor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本项目延保范围包括：</w:t>
      </w:r>
      <w:r>
        <w:rPr>
          <w:rFonts w:hint="eastAsia"/>
          <w:u w:val="single"/>
        </w:rPr>
        <w:t>汕头职业技术学院“创新强校工程”数字化校园建设项目</w:t>
      </w:r>
      <w:r>
        <w:rPr>
          <w:rFonts w:hint="eastAsia"/>
          <w:u w:val="single"/>
          <w:lang w:val="en-US" w:eastAsia="zh-CN"/>
        </w:rPr>
        <w:t>中</w:t>
      </w:r>
      <w:r>
        <w:rPr>
          <w:rFonts w:hint="eastAsia"/>
          <w:highlight w:val="none"/>
          <w:u w:val="single"/>
          <w:lang w:val="en-US" w:eastAsia="zh-CN"/>
        </w:rPr>
        <w:t>的：①.数字校园软件系统、②.网络安全防护、③.网络运行维护系统、④.虚拟服务器系统、⑤.综合布线系统改造（非信息化部分）部分内容，以及后续零星项目新增的⑥.网络安全设备</w:t>
      </w:r>
      <w:r>
        <w:rPr>
          <w:rFonts w:hint="eastAsia"/>
          <w:highlight w:val="none"/>
          <w:lang w:val="en-US" w:eastAsia="zh-CN"/>
        </w:rPr>
        <w:t>（具体见《延保清单明细》）；运维范围</w:t>
      </w:r>
      <w:r>
        <w:rPr>
          <w:highlight w:val="none"/>
        </w:rPr>
        <w:t>不包含原有项目</w:t>
      </w:r>
      <w:r>
        <w:rPr>
          <w:rFonts w:hint="eastAsia"/>
          <w:highlight w:val="none"/>
          <w:lang w:val="en-US" w:eastAsia="zh-CN"/>
        </w:rPr>
        <w:t>中的</w:t>
      </w:r>
      <w:r>
        <w:rPr>
          <w:rFonts w:hint="eastAsia"/>
          <w:highlight w:val="none"/>
          <w:u w:val="single"/>
          <w:lang w:val="en-US" w:eastAsia="zh-CN"/>
        </w:rPr>
        <w:t>网络系统升级（主要指交换机）、管线材、耗材</w:t>
      </w:r>
      <w:r>
        <w:rPr>
          <w:rFonts w:hint="eastAsia"/>
          <w:highlight w:val="none"/>
          <w:u w:val="none"/>
          <w:lang w:val="en-US" w:eastAsia="zh-CN"/>
        </w:rPr>
        <w:t>。</w:t>
      </w:r>
    </w:p>
    <w:p>
      <w:pPr>
        <w:pStyle w:val="3"/>
        <w:numPr>
          <w:ilvl w:val="0"/>
          <w:numId w:val="4"/>
        </w:numPr>
        <w:spacing w:before="156" w:after="156"/>
        <w:ind w:left="905" w:leftChars="0" w:hanging="425" w:firstLineChars="0"/>
      </w:pPr>
      <w:bookmarkStart w:id="13" w:name="_Toc84596720"/>
      <w:r>
        <w:t>延保周期</w:t>
      </w:r>
      <w:bookmarkEnd w:id="13"/>
    </w:p>
    <w:p>
      <w:pPr>
        <w:spacing w:before="156" w:after="156"/>
        <w:ind w:firstLine="480" w:firstLineChars="200"/>
      </w:pPr>
      <w:r>
        <w:t>本项目延保周期为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u w:val="single"/>
        </w:rPr>
        <w:t>壹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</w:rPr>
        <w:t>年，至项目延保合同签订日起计。</w:t>
      </w:r>
    </w:p>
    <w:p>
      <w:pPr>
        <w:pStyle w:val="3"/>
        <w:numPr>
          <w:ilvl w:val="0"/>
          <w:numId w:val="4"/>
        </w:numPr>
        <w:spacing w:before="156" w:after="156"/>
        <w:ind w:left="905" w:leftChars="0" w:hanging="425" w:firstLineChars="0"/>
      </w:pPr>
      <w:bookmarkStart w:id="14" w:name="_Toc84596722"/>
      <w:r>
        <w:t>运维服务方式</w:t>
      </w:r>
      <w:bookmarkEnd w:id="14"/>
    </w:p>
    <w:p>
      <w:pPr>
        <w:spacing w:before="156" w:after="156"/>
        <w:ind w:firstLine="480" w:firstLineChars="200"/>
      </w:pPr>
      <w:r>
        <w:t>本项目运维方式为采用</w:t>
      </w:r>
      <w:r>
        <w:rPr>
          <w:rFonts w:hint="eastAsia"/>
          <w:u w:val="single"/>
        </w:rPr>
        <w:t xml:space="preserve"> 非驻场服务 </w:t>
      </w:r>
      <w:r>
        <w:rPr>
          <w:rFonts w:hint="eastAsia"/>
        </w:rPr>
        <w:t>方式，并通过故障报修、定期维护、紧急维护等方式提供服务支持。</w:t>
      </w:r>
    </w:p>
    <w:p>
      <w:pPr>
        <w:pStyle w:val="3"/>
        <w:numPr>
          <w:ilvl w:val="0"/>
          <w:numId w:val="4"/>
        </w:numPr>
        <w:spacing w:before="156" w:after="156"/>
        <w:ind w:left="905" w:leftChars="0" w:hanging="425" w:firstLineChars="0"/>
      </w:pPr>
      <w:bookmarkStart w:id="15" w:name="_Toc84596723"/>
      <w:r>
        <w:t>售后服务</w:t>
      </w:r>
      <w:bookmarkEnd w:id="15"/>
      <w:r>
        <w:rPr>
          <w:rFonts w:hint="eastAsia"/>
          <w:lang w:val="en-US" w:eastAsia="zh-CN"/>
        </w:rPr>
        <w:t>要求</w:t>
      </w:r>
    </w:p>
    <w:p>
      <w:pPr>
        <w:pStyle w:val="3"/>
        <w:numPr>
          <w:ilvl w:val="1"/>
          <w:numId w:val="4"/>
        </w:numPr>
        <w:spacing w:before="156" w:after="156"/>
        <w:ind w:left="72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运维体系要求</w:t>
      </w:r>
    </w:p>
    <w:p>
      <w:pPr>
        <w:spacing w:before="156" w:after="156"/>
        <w:ind w:firstLine="480" w:firstLineChars="200"/>
      </w:pPr>
      <w:r>
        <w:rPr>
          <w:rFonts w:hint="eastAsia"/>
        </w:rPr>
        <w:t>本项目维护服务体系为“三专”服务：专人、专线、专库。</w:t>
      </w:r>
    </w:p>
    <w:p>
      <w:pPr>
        <w:pStyle w:val="37"/>
        <w:numPr>
          <w:ilvl w:val="0"/>
          <w:numId w:val="5"/>
        </w:numPr>
        <w:spacing w:before="156" w:after="156"/>
        <w:ind w:left="0" w:firstLine="480"/>
      </w:pPr>
      <w:r>
        <w:rPr>
          <w:rFonts w:hint="eastAsia"/>
        </w:rPr>
        <w:t>专人服务：指派固定人员来负责对服务。专人化服务是综合了软硬件及网络支持一体化的整体系统服务。</w:t>
      </w:r>
    </w:p>
    <w:p>
      <w:pPr>
        <w:pStyle w:val="37"/>
        <w:numPr>
          <w:ilvl w:val="0"/>
          <w:numId w:val="5"/>
        </w:numPr>
        <w:spacing w:before="156" w:after="156"/>
        <w:ind w:left="0" w:firstLine="480"/>
      </w:pPr>
      <w:r>
        <w:rPr>
          <w:rFonts w:hint="eastAsia"/>
        </w:rPr>
        <w:t>专线服务：提供热线电话，支持技术咨询、远程诊断、问题解决。</w:t>
      </w:r>
    </w:p>
    <w:p>
      <w:pPr>
        <w:pStyle w:val="37"/>
        <w:numPr>
          <w:ilvl w:val="0"/>
          <w:numId w:val="5"/>
        </w:numPr>
        <w:spacing w:before="156" w:after="156"/>
        <w:ind w:left="0" w:firstLine="480"/>
      </w:pPr>
      <w:r>
        <w:rPr>
          <w:rFonts w:hint="eastAsia"/>
        </w:rPr>
        <w:t>专库服务：建立针对本项目的专门售后资料库，对每次维护行为、维护时间、故障原因、解决花费时间等进行记录。</w:t>
      </w:r>
    </w:p>
    <w:p>
      <w:pPr>
        <w:pStyle w:val="3"/>
        <w:numPr>
          <w:ilvl w:val="1"/>
          <w:numId w:val="4"/>
        </w:numPr>
        <w:spacing w:before="156" w:after="156"/>
        <w:ind w:left="7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运维单位职责</w:t>
      </w:r>
    </w:p>
    <w:p>
      <w:pPr>
        <w:pStyle w:val="37"/>
        <w:numPr>
          <w:ilvl w:val="0"/>
          <w:numId w:val="6"/>
        </w:numPr>
        <w:spacing w:before="156" w:after="156"/>
        <w:ind w:left="0" w:firstLine="480"/>
      </w:pPr>
      <w:r>
        <w:rPr>
          <w:rFonts w:hint="eastAsia"/>
        </w:rPr>
        <w:t>指派专人为维护检查提供必要的条件，如在必要时，通知有关部门和人员暂停业务；</w:t>
      </w:r>
    </w:p>
    <w:p>
      <w:pPr>
        <w:pStyle w:val="37"/>
        <w:numPr>
          <w:ilvl w:val="0"/>
          <w:numId w:val="6"/>
        </w:numPr>
        <w:spacing w:before="156" w:after="156"/>
        <w:ind w:left="0" w:firstLine="480"/>
      </w:pPr>
      <w:r>
        <w:rPr>
          <w:rFonts w:hint="eastAsia"/>
        </w:rPr>
        <w:t>维护人员在服务前应作好规划，制定详细的检查项目、步骤和方法、所需时间，并与</w:t>
      </w:r>
      <w:r>
        <w:rPr>
          <w:rFonts w:hint="eastAsia"/>
          <w:color w:val="000000"/>
          <w:szCs w:val="28"/>
        </w:rPr>
        <w:t>使用方</w:t>
      </w:r>
      <w:r>
        <w:rPr>
          <w:rFonts w:hint="eastAsia"/>
        </w:rPr>
        <w:t>商定巡检时间，确保巡检质量和效率；</w:t>
      </w:r>
    </w:p>
    <w:p>
      <w:pPr>
        <w:pStyle w:val="37"/>
        <w:numPr>
          <w:ilvl w:val="0"/>
          <w:numId w:val="6"/>
        </w:numPr>
        <w:spacing w:before="156" w:after="156"/>
        <w:ind w:left="0" w:firstLine="480"/>
      </w:pPr>
      <w:r>
        <w:rPr>
          <w:rFonts w:hint="eastAsia"/>
        </w:rPr>
        <w:t>维护人员必须严格遵照服务制度规定的流程和方法进行操作，与</w:t>
      </w:r>
      <w:r>
        <w:rPr>
          <w:rFonts w:hint="eastAsia"/>
          <w:color w:val="000000"/>
          <w:szCs w:val="28"/>
        </w:rPr>
        <w:t>使用方</w:t>
      </w:r>
      <w:r>
        <w:rPr>
          <w:rFonts w:hint="eastAsia"/>
        </w:rPr>
        <w:t>协助人员保持良好的沟通，在必须停机检测前必须向</w:t>
      </w:r>
      <w:r>
        <w:rPr>
          <w:rFonts w:hint="eastAsia"/>
          <w:color w:val="000000"/>
          <w:szCs w:val="28"/>
        </w:rPr>
        <w:t>使用方</w:t>
      </w:r>
      <w:r>
        <w:rPr>
          <w:rFonts w:hint="eastAsia"/>
        </w:rPr>
        <w:t>说明情况，取得</w:t>
      </w:r>
      <w:r>
        <w:rPr>
          <w:rFonts w:hint="eastAsia"/>
          <w:color w:val="000000"/>
          <w:szCs w:val="28"/>
        </w:rPr>
        <w:t>使用方</w:t>
      </w:r>
      <w:r>
        <w:rPr>
          <w:rFonts w:hint="eastAsia"/>
        </w:rPr>
        <w:t>同意才能进行。</w:t>
      </w:r>
    </w:p>
    <w:p>
      <w:pPr>
        <w:pStyle w:val="3"/>
        <w:numPr>
          <w:ilvl w:val="1"/>
          <w:numId w:val="4"/>
        </w:numPr>
        <w:spacing w:before="156" w:after="156"/>
        <w:ind w:left="720" w:leftChars="0" w:firstLine="0" w:firstLineChars="0"/>
      </w:pPr>
      <w:r>
        <w:rPr>
          <w:rFonts w:hint="eastAsia"/>
          <w:lang w:val="en-US" w:eastAsia="zh-CN"/>
        </w:rPr>
        <w:t>运维要求</w:t>
      </w:r>
    </w:p>
    <w:p>
      <w:pPr>
        <w:pStyle w:val="43"/>
        <w:numPr>
          <w:ilvl w:val="0"/>
          <w:numId w:val="7"/>
        </w:numPr>
        <w:spacing w:before="156" w:after="156"/>
        <w:ind w:firstLineChars="0"/>
        <w:rPr>
          <w:rFonts w:hint="eastAsia"/>
          <w:b/>
          <w:bCs/>
          <w:color w:val="000000"/>
          <w:szCs w:val="28"/>
          <w:lang w:val="en-US" w:eastAsia="zh-CN"/>
        </w:rPr>
      </w:pPr>
      <w:r>
        <w:rPr>
          <w:rFonts w:hint="eastAsia"/>
          <w:b/>
          <w:bCs/>
          <w:color w:val="000000"/>
          <w:szCs w:val="28"/>
          <w:lang w:val="en-US" w:eastAsia="zh-CN"/>
        </w:rPr>
        <w:t>提供现场运维服务</w:t>
      </w:r>
    </w:p>
    <w:p>
      <w:pPr>
        <w:spacing w:before="156" w:after="156"/>
        <w:ind w:firstLine="480" w:firstLineChars="200"/>
      </w:pPr>
      <w:r>
        <w:rPr>
          <w:rFonts w:ascii="宋体" w:hAnsi="宋体" w:cs="宋体"/>
          <w:szCs w:val="28"/>
        </w:rPr>
        <w:t>接到报修通知后，</w:t>
      </w:r>
      <w:r>
        <w:rPr>
          <w:rFonts w:hint="eastAsia" w:ascii="宋体" w:hAnsi="宋体" w:cs="宋体"/>
          <w:szCs w:val="28"/>
          <w:lang w:val="en-US" w:eastAsia="zh-CN"/>
        </w:rPr>
        <w:t>运维单位需</w:t>
      </w:r>
      <w:r>
        <w:rPr>
          <w:rFonts w:hint="eastAsia" w:ascii="宋体" w:hAnsi="宋体" w:cs="宋体"/>
          <w:szCs w:val="28"/>
        </w:rPr>
        <w:t>在</w:t>
      </w:r>
      <w:r>
        <w:rPr>
          <w:rFonts w:hint="eastAsia" w:ascii="宋体" w:hAnsi="宋体" w:cs="宋体"/>
          <w:szCs w:val="28"/>
          <w:u w:val="single"/>
        </w:rPr>
        <w:t>1小时内</w:t>
      </w:r>
      <w:r>
        <w:rPr>
          <w:rFonts w:ascii="宋体" w:hAnsi="宋体" w:cs="宋体"/>
          <w:szCs w:val="28"/>
          <w:u w:val="single"/>
        </w:rPr>
        <w:t>响应，于</w:t>
      </w:r>
      <w:r>
        <w:rPr>
          <w:rFonts w:hint="eastAsia" w:ascii="宋体" w:hAnsi="宋体" w:cs="宋体"/>
          <w:szCs w:val="28"/>
          <w:u w:val="single"/>
          <w:lang w:val="en-US" w:eastAsia="zh-CN"/>
        </w:rPr>
        <w:t>2</w:t>
      </w:r>
      <w:r>
        <w:rPr>
          <w:rFonts w:hint="eastAsia" w:ascii="宋体" w:hAnsi="宋体" w:cs="宋体"/>
          <w:szCs w:val="28"/>
          <w:u w:val="single"/>
        </w:rPr>
        <w:t>小时内到现场</w:t>
      </w:r>
      <w:r>
        <w:rPr>
          <w:rFonts w:ascii="宋体" w:hAnsi="宋体" w:cs="宋体"/>
          <w:szCs w:val="28"/>
        </w:rPr>
        <w:t>查找原因，并工作直至故障修妥完全恢复正常服务</w:t>
      </w:r>
      <w:r>
        <w:rPr>
          <w:rFonts w:hint="eastAsia" w:ascii="宋体" w:hAnsi="宋体" w:cs="宋体"/>
          <w:szCs w:val="28"/>
        </w:rPr>
        <w:t>。</w:t>
      </w:r>
    </w:p>
    <w:p>
      <w:pPr>
        <w:pStyle w:val="43"/>
        <w:numPr>
          <w:ilvl w:val="0"/>
          <w:numId w:val="7"/>
        </w:numPr>
        <w:spacing w:before="156" w:after="156"/>
        <w:ind w:firstLineChars="0"/>
        <w:rPr>
          <w:b/>
          <w:bCs/>
          <w:color w:val="000000"/>
          <w:szCs w:val="28"/>
        </w:rPr>
      </w:pPr>
      <w:r>
        <w:rPr>
          <w:rFonts w:hint="eastAsia"/>
          <w:b/>
          <w:bCs/>
          <w:color w:val="000000"/>
          <w:szCs w:val="28"/>
          <w:lang w:val="en-US" w:eastAsia="zh-CN"/>
        </w:rPr>
        <w:t>提供</w:t>
      </w:r>
      <w:r>
        <w:rPr>
          <w:rFonts w:hint="eastAsia"/>
          <w:b/>
          <w:bCs/>
          <w:color w:val="000000"/>
          <w:szCs w:val="28"/>
        </w:rPr>
        <w:t>软件补丁包安装服务</w:t>
      </w:r>
    </w:p>
    <w:p>
      <w:pPr>
        <w:pStyle w:val="49"/>
        <w:spacing w:before="156" w:after="156"/>
        <w:rPr>
          <w:szCs w:val="28"/>
        </w:rPr>
      </w:pPr>
      <w:r>
        <w:rPr>
          <w:rFonts w:hint="eastAsia"/>
          <w:szCs w:val="28"/>
        </w:rPr>
        <w:t>派出</w:t>
      </w:r>
      <w:r>
        <w:rPr>
          <w:rFonts w:hint="eastAsia"/>
          <w:szCs w:val="28"/>
          <w:lang w:val="en-US" w:eastAsia="zh-CN"/>
        </w:rPr>
        <w:t>运维人员</w:t>
      </w:r>
      <w:r>
        <w:rPr>
          <w:rFonts w:hint="eastAsia"/>
          <w:szCs w:val="28"/>
        </w:rPr>
        <w:t>到达客户现场，帮助使用单位安装补丁包；</w:t>
      </w:r>
    </w:p>
    <w:p>
      <w:pPr>
        <w:pStyle w:val="43"/>
        <w:numPr>
          <w:ilvl w:val="0"/>
          <w:numId w:val="7"/>
        </w:numPr>
        <w:spacing w:before="156" w:after="156"/>
        <w:ind w:firstLineChars="0"/>
        <w:rPr>
          <w:b/>
          <w:bCs/>
          <w:color w:val="000000"/>
          <w:szCs w:val="28"/>
        </w:rPr>
      </w:pPr>
      <w:r>
        <w:rPr>
          <w:rFonts w:hint="eastAsia"/>
          <w:b/>
          <w:bCs/>
          <w:color w:val="000000"/>
          <w:szCs w:val="28"/>
        </w:rPr>
        <w:t>保证期外售后服务</w:t>
      </w:r>
      <w:r>
        <w:rPr>
          <w:rFonts w:hint="eastAsia"/>
          <w:b/>
          <w:bCs/>
          <w:color w:val="000000"/>
          <w:szCs w:val="28"/>
          <w:lang w:val="en-US" w:eastAsia="zh-CN"/>
        </w:rPr>
        <w:t>要求</w:t>
      </w:r>
    </w:p>
    <w:p>
      <w:pPr>
        <w:pStyle w:val="49"/>
        <w:spacing w:before="156" w:after="156"/>
        <w:rPr>
          <w:szCs w:val="28"/>
        </w:rPr>
      </w:pPr>
      <w:r>
        <w:rPr>
          <w:rFonts w:hint="eastAsia"/>
          <w:color w:val="000000"/>
          <w:szCs w:val="28"/>
        </w:rPr>
        <w:t>设备保修期满后，需继续提供免费电话支持，通过电话解答使用单位提出的问题，指导用户技术人员，对设备进行诊断和维修或提供有偿上门技术。</w:t>
      </w:r>
    </w:p>
    <w:p>
      <w:pPr>
        <w:pStyle w:val="3"/>
        <w:keepNext/>
        <w:keepLines/>
        <w:pageBreakBefore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16" w:lineRule="auto"/>
        <w:ind w:left="907" w:leftChars="0" w:hanging="425" w:firstLineChars="0"/>
        <w:textAlignment w:val="auto"/>
      </w:pPr>
      <w:bookmarkStart w:id="16" w:name="_Toc84596745"/>
      <w:r>
        <w:t>延保</w:t>
      </w:r>
      <w:r>
        <w:rPr>
          <w:rFonts w:hint="eastAsia"/>
        </w:rPr>
        <w:t>清单明细</w:t>
      </w:r>
      <w:bookmarkEnd w:id="16"/>
    </w:p>
    <w:p>
      <w:pPr>
        <w:pStyle w:val="37"/>
        <w:keepNext/>
        <w:keepLines/>
        <w:numPr>
          <w:ilvl w:val="0"/>
          <w:numId w:val="8"/>
        </w:numPr>
        <w:spacing w:before="163" w:after="163" w:line="415" w:lineRule="auto"/>
        <w:ind w:firstLineChars="0"/>
        <w:outlineLvl w:val="2"/>
        <w:rPr>
          <w:b/>
          <w:bCs/>
          <w:vanish/>
          <w:sz w:val="28"/>
          <w:szCs w:val="32"/>
        </w:rPr>
      </w:pPr>
      <w:bookmarkStart w:id="17" w:name="_Toc68793234"/>
      <w:bookmarkEnd w:id="17"/>
      <w:bookmarkStart w:id="18" w:name="_Toc83225475"/>
      <w:bookmarkEnd w:id="18"/>
      <w:bookmarkStart w:id="19" w:name="_Toc84596746"/>
      <w:bookmarkEnd w:id="19"/>
      <w:bookmarkStart w:id="20" w:name="_Toc82876010"/>
      <w:bookmarkEnd w:id="20"/>
      <w:bookmarkStart w:id="21" w:name="_Toc75963860"/>
      <w:bookmarkEnd w:id="21"/>
      <w:bookmarkStart w:id="22" w:name="_Toc75964128"/>
      <w:bookmarkEnd w:id="22"/>
    </w:p>
    <w:p>
      <w:pPr>
        <w:pStyle w:val="37"/>
        <w:keepNext/>
        <w:keepLines/>
        <w:numPr>
          <w:ilvl w:val="0"/>
          <w:numId w:val="8"/>
        </w:numPr>
        <w:spacing w:before="163" w:after="163" w:line="415" w:lineRule="auto"/>
        <w:ind w:firstLineChars="0"/>
        <w:outlineLvl w:val="2"/>
        <w:rPr>
          <w:b/>
          <w:bCs/>
          <w:vanish/>
          <w:sz w:val="28"/>
          <w:szCs w:val="32"/>
        </w:rPr>
      </w:pPr>
      <w:bookmarkStart w:id="23" w:name="_Toc84596747"/>
      <w:bookmarkEnd w:id="23"/>
    </w:p>
    <w:p>
      <w:pPr>
        <w:pStyle w:val="37"/>
        <w:keepNext/>
        <w:keepLines/>
        <w:numPr>
          <w:ilvl w:val="0"/>
          <w:numId w:val="8"/>
        </w:numPr>
        <w:spacing w:before="163" w:after="163" w:line="415" w:lineRule="auto"/>
        <w:ind w:firstLineChars="0"/>
        <w:outlineLvl w:val="2"/>
        <w:rPr>
          <w:b/>
          <w:bCs/>
          <w:vanish/>
          <w:sz w:val="28"/>
          <w:szCs w:val="32"/>
        </w:rPr>
      </w:pPr>
      <w:bookmarkStart w:id="24" w:name="_Toc84596748"/>
      <w:bookmarkEnd w:id="24"/>
    </w:p>
    <w:p>
      <w:pPr>
        <w:pStyle w:val="37"/>
        <w:keepNext/>
        <w:keepLines/>
        <w:numPr>
          <w:ilvl w:val="1"/>
          <w:numId w:val="8"/>
        </w:numPr>
        <w:spacing w:before="163" w:after="163" w:line="415" w:lineRule="auto"/>
        <w:ind w:firstLineChars="0"/>
        <w:outlineLvl w:val="2"/>
        <w:rPr>
          <w:b/>
          <w:bCs/>
          <w:vanish/>
          <w:sz w:val="28"/>
          <w:szCs w:val="32"/>
        </w:rPr>
      </w:pPr>
      <w:bookmarkStart w:id="25" w:name="_Toc84596749"/>
      <w:bookmarkEnd w:id="25"/>
    </w:p>
    <w:p>
      <w:pPr>
        <w:pStyle w:val="37"/>
        <w:keepNext/>
        <w:keepLines/>
        <w:numPr>
          <w:ilvl w:val="1"/>
          <w:numId w:val="8"/>
        </w:numPr>
        <w:spacing w:before="163" w:after="163" w:line="415" w:lineRule="auto"/>
        <w:ind w:firstLineChars="0"/>
        <w:outlineLvl w:val="2"/>
        <w:rPr>
          <w:b/>
          <w:bCs/>
          <w:vanish/>
          <w:sz w:val="28"/>
          <w:szCs w:val="32"/>
        </w:rPr>
      </w:pPr>
      <w:bookmarkStart w:id="26" w:name="_Toc84596750"/>
      <w:bookmarkEnd w:id="26"/>
    </w:p>
    <w:p>
      <w:pPr>
        <w:pStyle w:val="37"/>
        <w:keepNext/>
        <w:keepLines/>
        <w:numPr>
          <w:ilvl w:val="1"/>
          <w:numId w:val="8"/>
        </w:numPr>
        <w:spacing w:before="163" w:after="163" w:line="415" w:lineRule="auto"/>
        <w:ind w:firstLineChars="0"/>
        <w:outlineLvl w:val="2"/>
        <w:rPr>
          <w:b/>
          <w:bCs/>
          <w:vanish/>
          <w:sz w:val="28"/>
          <w:szCs w:val="32"/>
        </w:rPr>
      </w:pPr>
      <w:bookmarkStart w:id="27" w:name="_Toc84596751"/>
      <w:bookmarkEnd w:id="27"/>
    </w:p>
    <w:tbl>
      <w:tblPr>
        <w:tblStyle w:val="22"/>
        <w:tblW w:w="5366" w:type="pct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871"/>
        <w:gridCol w:w="4078"/>
        <w:gridCol w:w="782"/>
        <w:gridCol w:w="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品牌规格型号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1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一、数字校园软件系统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bottom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bottom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数字校园软件系统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建设信息标准、信息门户系统、统一身份认证系统、公共数据交换系统、教务综合管理系统、学生综合服务系统、一站式办事服务大厅系统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1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（二）网络安全防护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bottom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bottom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下一代防火墙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山石网科 SG-6000-X7180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上网行为审计设备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深信服 AC-1000-L444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WAF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绿盟 NX5-P2020A-C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1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（三）网络运维监控系统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bottom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bottom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网络运维监控系统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轩辕网络 轩辕汇维服务管理软件V5.0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1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（四）虚拟服务器系统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bottom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bottom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服务器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H3C UIS-Cell-3020-G3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虚拟机软件(按CPU计算)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H3C LIS-CAS-CVMA-STD-2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虚拟存储软件(按CPU计算)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H3C LIS-UIS-ONEStor-BLOCK-STD-2CPU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虚拟机管理中心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H3C UIS-MANAGER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KVM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海硕 MPS1916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1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（五）综合布线系统改造（非信息化部分）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bottom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bottom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机房报警系统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抽湿机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1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（六）网络安全设备（后续零星项目增加）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bottom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bottom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资源统一管理平台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木云日志分析管理系统V1.2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日志审计系统(行为审计)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华为 USG6625E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日志审计系统(探针)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华为 elog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堡垒机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华为 UMA1520E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数据库审计系统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华为 VSCAN1506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漏洞扫描系统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华为 DAS1500-V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</w:tbl>
    <w:p>
      <w:pPr>
        <w:spacing w:before="163" w:after="163"/>
        <w:rPr>
          <w:sz w:val="2"/>
          <w:szCs w:val="2"/>
        </w:rPr>
      </w:pPr>
    </w:p>
    <w:sectPr>
      <w:headerReference r:id="rId5" w:type="default"/>
      <w:footerReference r:id="rId6" w:type="default"/>
      <w:pgSz w:w="11906" w:h="16838"/>
      <w:pgMar w:top="1440" w:right="1758" w:bottom="1440" w:left="1758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4242099"/>
      <w:docPartObj>
        <w:docPartGallery w:val="autotext"/>
      </w:docPartObj>
    </w:sdtPr>
    <w:sdtContent>
      <w:p>
        <w:pPr>
          <w:pStyle w:val="16"/>
          <w:spacing w:before="120" w:after="1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9E2C04"/>
    <w:multiLevelType w:val="multilevel"/>
    <w:tmpl w:val="059E2C0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1287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default" w:asciiTheme="minorHAnsi" w:hAnsiTheme="minorHAnsi" w:cstheme="minorHAnsi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232D207A"/>
    <w:multiLevelType w:val="multilevel"/>
    <w:tmpl w:val="232D207A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default" w:asciiTheme="minorHAnsi" w:hAnsiTheme="minorHAnsi" w:cstheme="minorHAnsi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3B5B43E9"/>
    <w:multiLevelType w:val="multilevel"/>
    <w:tmpl w:val="3B5B43E9"/>
    <w:lvl w:ilvl="0" w:tentative="0">
      <w:start w:val="1"/>
      <w:numFmt w:val="decimal"/>
      <w:suff w:val="space"/>
      <w:lvlText w:val="（%1）"/>
      <w:lvlJc w:val="left"/>
      <w:pPr>
        <w:ind w:left="9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3">
    <w:nsid w:val="47F3A747"/>
    <w:multiLevelType w:val="singleLevel"/>
    <w:tmpl w:val="47F3A747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abstractNum w:abstractNumId="4">
    <w:nsid w:val="4DEF9EB0"/>
    <w:multiLevelType w:val="multilevel"/>
    <w:tmpl w:val="4DEF9EB0"/>
    <w:lvl w:ilvl="0" w:tentative="0">
      <w:start w:val="1"/>
      <w:numFmt w:val="decimal"/>
      <w:lvlText w:val="%1."/>
      <w:lvlJc w:val="left"/>
      <w:pPr>
        <w:ind w:left="905" w:hanging="425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5">
    <w:nsid w:val="52066DA9"/>
    <w:multiLevelType w:val="multilevel"/>
    <w:tmpl w:val="52066DA9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5C295F07"/>
    <w:multiLevelType w:val="multilevel"/>
    <w:tmpl w:val="5C295F07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5E9E2B3C"/>
    <w:multiLevelType w:val="multilevel"/>
    <w:tmpl w:val="5E9E2B3C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hideSpellingError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YmRlMmM2OWJjNzE2YmFjYzAyOWIzMGM3NDJhZDgifQ=="/>
  </w:docVars>
  <w:rsids>
    <w:rsidRoot w:val="00BA126B"/>
    <w:rsid w:val="00010681"/>
    <w:rsid w:val="0001363A"/>
    <w:rsid w:val="0002404C"/>
    <w:rsid w:val="00025E89"/>
    <w:rsid w:val="000263EA"/>
    <w:rsid w:val="00034613"/>
    <w:rsid w:val="00042FFE"/>
    <w:rsid w:val="00051A5A"/>
    <w:rsid w:val="00053774"/>
    <w:rsid w:val="0008177C"/>
    <w:rsid w:val="000B2851"/>
    <w:rsid w:val="000D0CC7"/>
    <w:rsid w:val="000D1E6A"/>
    <w:rsid w:val="000F3036"/>
    <w:rsid w:val="000F6ADD"/>
    <w:rsid w:val="001177A9"/>
    <w:rsid w:val="00123134"/>
    <w:rsid w:val="00140BF5"/>
    <w:rsid w:val="00160F6C"/>
    <w:rsid w:val="001668E1"/>
    <w:rsid w:val="0017174B"/>
    <w:rsid w:val="001A3EA0"/>
    <w:rsid w:val="001A432C"/>
    <w:rsid w:val="001B660A"/>
    <w:rsid w:val="001D49A1"/>
    <w:rsid w:val="001E08A4"/>
    <w:rsid w:val="001E6DE5"/>
    <w:rsid w:val="00210B72"/>
    <w:rsid w:val="00230827"/>
    <w:rsid w:val="002411DC"/>
    <w:rsid w:val="0025217C"/>
    <w:rsid w:val="0028036F"/>
    <w:rsid w:val="00280450"/>
    <w:rsid w:val="0029371D"/>
    <w:rsid w:val="002B7465"/>
    <w:rsid w:val="002C5FA9"/>
    <w:rsid w:val="002D7C88"/>
    <w:rsid w:val="002F0690"/>
    <w:rsid w:val="002F67E4"/>
    <w:rsid w:val="003028F4"/>
    <w:rsid w:val="003276BC"/>
    <w:rsid w:val="0035732F"/>
    <w:rsid w:val="0036143C"/>
    <w:rsid w:val="00367017"/>
    <w:rsid w:val="003C15B0"/>
    <w:rsid w:val="003D50DD"/>
    <w:rsid w:val="003F0850"/>
    <w:rsid w:val="00406DD8"/>
    <w:rsid w:val="00421DF9"/>
    <w:rsid w:val="00437262"/>
    <w:rsid w:val="0045427C"/>
    <w:rsid w:val="004757C1"/>
    <w:rsid w:val="00480607"/>
    <w:rsid w:val="004A4A89"/>
    <w:rsid w:val="004B7DCA"/>
    <w:rsid w:val="004C1661"/>
    <w:rsid w:val="004C1D84"/>
    <w:rsid w:val="004C482E"/>
    <w:rsid w:val="004C4F5A"/>
    <w:rsid w:val="004D0043"/>
    <w:rsid w:val="004D192F"/>
    <w:rsid w:val="004E3862"/>
    <w:rsid w:val="004E4FD0"/>
    <w:rsid w:val="004F5A66"/>
    <w:rsid w:val="00503143"/>
    <w:rsid w:val="0051388B"/>
    <w:rsid w:val="00533674"/>
    <w:rsid w:val="005351E6"/>
    <w:rsid w:val="0055510B"/>
    <w:rsid w:val="005C71C9"/>
    <w:rsid w:val="005D1816"/>
    <w:rsid w:val="005D2023"/>
    <w:rsid w:val="00612000"/>
    <w:rsid w:val="0062070D"/>
    <w:rsid w:val="006233D9"/>
    <w:rsid w:val="006237E4"/>
    <w:rsid w:val="006317C2"/>
    <w:rsid w:val="0063664D"/>
    <w:rsid w:val="00637AA0"/>
    <w:rsid w:val="00655513"/>
    <w:rsid w:val="00670565"/>
    <w:rsid w:val="006839E6"/>
    <w:rsid w:val="00684A33"/>
    <w:rsid w:val="00693ED9"/>
    <w:rsid w:val="006A2FD5"/>
    <w:rsid w:val="006B1AF3"/>
    <w:rsid w:val="006F4322"/>
    <w:rsid w:val="00701E73"/>
    <w:rsid w:val="00702FE6"/>
    <w:rsid w:val="0071147B"/>
    <w:rsid w:val="00725F1D"/>
    <w:rsid w:val="00747309"/>
    <w:rsid w:val="007526A4"/>
    <w:rsid w:val="007763FD"/>
    <w:rsid w:val="00794AE5"/>
    <w:rsid w:val="007A4521"/>
    <w:rsid w:val="007A5EEA"/>
    <w:rsid w:val="007D46D6"/>
    <w:rsid w:val="007E5D3B"/>
    <w:rsid w:val="00804C95"/>
    <w:rsid w:val="0080539D"/>
    <w:rsid w:val="008069D5"/>
    <w:rsid w:val="00810F7D"/>
    <w:rsid w:val="00817900"/>
    <w:rsid w:val="00832413"/>
    <w:rsid w:val="00865D51"/>
    <w:rsid w:val="00872360"/>
    <w:rsid w:val="0089576D"/>
    <w:rsid w:val="008B1752"/>
    <w:rsid w:val="008B3E3A"/>
    <w:rsid w:val="008B600F"/>
    <w:rsid w:val="008D75DC"/>
    <w:rsid w:val="008E5125"/>
    <w:rsid w:val="008E5DFB"/>
    <w:rsid w:val="00912C64"/>
    <w:rsid w:val="009418C2"/>
    <w:rsid w:val="00947BBF"/>
    <w:rsid w:val="00947EE3"/>
    <w:rsid w:val="009652C7"/>
    <w:rsid w:val="009678E5"/>
    <w:rsid w:val="009757B1"/>
    <w:rsid w:val="009847B1"/>
    <w:rsid w:val="00986616"/>
    <w:rsid w:val="0098707F"/>
    <w:rsid w:val="009A112F"/>
    <w:rsid w:val="009A6AFB"/>
    <w:rsid w:val="009B272B"/>
    <w:rsid w:val="009B7D0C"/>
    <w:rsid w:val="009E713E"/>
    <w:rsid w:val="00A3187F"/>
    <w:rsid w:val="00A5255E"/>
    <w:rsid w:val="00A54BD2"/>
    <w:rsid w:val="00AB3618"/>
    <w:rsid w:val="00AB7499"/>
    <w:rsid w:val="00AC3B6F"/>
    <w:rsid w:val="00AD515F"/>
    <w:rsid w:val="00AD6AE7"/>
    <w:rsid w:val="00AE48D2"/>
    <w:rsid w:val="00AE523A"/>
    <w:rsid w:val="00B03754"/>
    <w:rsid w:val="00B12566"/>
    <w:rsid w:val="00B33610"/>
    <w:rsid w:val="00B53798"/>
    <w:rsid w:val="00B64D49"/>
    <w:rsid w:val="00B81EDE"/>
    <w:rsid w:val="00B90BAD"/>
    <w:rsid w:val="00BA126B"/>
    <w:rsid w:val="00BC0C14"/>
    <w:rsid w:val="00BC0DA8"/>
    <w:rsid w:val="00BD078B"/>
    <w:rsid w:val="00BF349B"/>
    <w:rsid w:val="00BF3C3A"/>
    <w:rsid w:val="00BF65CB"/>
    <w:rsid w:val="00C045BE"/>
    <w:rsid w:val="00C11840"/>
    <w:rsid w:val="00C128C4"/>
    <w:rsid w:val="00C23092"/>
    <w:rsid w:val="00C31FC1"/>
    <w:rsid w:val="00C370F9"/>
    <w:rsid w:val="00C6200B"/>
    <w:rsid w:val="00C639D5"/>
    <w:rsid w:val="00C641A5"/>
    <w:rsid w:val="00C800BA"/>
    <w:rsid w:val="00C9194A"/>
    <w:rsid w:val="00CB05AE"/>
    <w:rsid w:val="00CB621D"/>
    <w:rsid w:val="00CC75F0"/>
    <w:rsid w:val="00D126B3"/>
    <w:rsid w:val="00D17F57"/>
    <w:rsid w:val="00D20808"/>
    <w:rsid w:val="00D25B99"/>
    <w:rsid w:val="00D33DBD"/>
    <w:rsid w:val="00D442E5"/>
    <w:rsid w:val="00D5339F"/>
    <w:rsid w:val="00D54FF3"/>
    <w:rsid w:val="00D711CB"/>
    <w:rsid w:val="00D87B0D"/>
    <w:rsid w:val="00DB32F0"/>
    <w:rsid w:val="00DC04B3"/>
    <w:rsid w:val="00DC24BC"/>
    <w:rsid w:val="00DE4857"/>
    <w:rsid w:val="00DF014A"/>
    <w:rsid w:val="00E0769E"/>
    <w:rsid w:val="00E53999"/>
    <w:rsid w:val="00E72324"/>
    <w:rsid w:val="00E83AE9"/>
    <w:rsid w:val="00E860D9"/>
    <w:rsid w:val="00E91022"/>
    <w:rsid w:val="00E91FB5"/>
    <w:rsid w:val="00EE2E53"/>
    <w:rsid w:val="00EE4FB6"/>
    <w:rsid w:val="00EF68B3"/>
    <w:rsid w:val="00F02E1D"/>
    <w:rsid w:val="00F12092"/>
    <w:rsid w:val="00F40C24"/>
    <w:rsid w:val="00F5636A"/>
    <w:rsid w:val="00FA0AD1"/>
    <w:rsid w:val="00FB24A2"/>
    <w:rsid w:val="00FE1E93"/>
    <w:rsid w:val="04181A8B"/>
    <w:rsid w:val="05AF3AE1"/>
    <w:rsid w:val="128C2EBB"/>
    <w:rsid w:val="13D824C6"/>
    <w:rsid w:val="171B6985"/>
    <w:rsid w:val="26DB3CCB"/>
    <w:rsid w:val="2D4337F5"/>
    <w:rsid w:val="2DF945FD"/>
    <w:rsid w:val="34FE37A0"/>
    <w:rsid w:val="3FBE4B10"/>
    <w:rsid w:val="4CAF4161"/>
    <w:rsid w:val="50180249"/>
    <w:rsid w:val="62FE5F36"/>
    <w:rsid w:val="6A0D3D83"/>
    <w:rsid w:val="6C933951"/>
    <w:rsid w:val="70A007C3"/>
    <w:rsid w:val="720C617A"/>
    <w:rsid w:val="7D74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Cs w:val="24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Cs w:val="24"/>
    </w:r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Cs w:val="24"/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62"/>
    <w:semiHidden/>
    <w:unhideWhenUsed/>
    <w:qFormat/>
    <w:uiPriority w:val="99"/>
    <w:pPr>
      <w:jc w:val="left"/>
    </w:pPr>
  </w:style>
  <w:style w:type="paragraph" w:styleId="12">
    <w:name w:val="Body Text"/>
    <w:basedOn w:val="1"/>
    <w:link w:val="46"/>
    <w:semiHidden/>
    <w:unhideWhenUsed/>
    <w:qFormat/>
    <w:uiPriority w:val="99"/>
    <w:pPr>
      <w:spacing w:after="120"/>
    </w:pPr>
  </w:style>
  <w:style w:type="paragraph" w:styleId="13">
    <w:name w:val="toc 3"/>
    <w:basedOn w:val="1"/>
    <w:next w:val="1"/>
    <w:unhideWhenUsed/>
    <w:qFormat/>
    <w:uiPriority w:val="39"/>
    <w:pPr>
      <w:tabs>
        <w:tab w:val="left" w:pos="1680"/>
        <w:tab w:val="right" w:leader="dot" w:pos="8296"/>
      </w:tabs>
      <w:spacing w:before="156" w:after="156" w:line="288" w:lineRule="auto"/>
      <w:ind w:left="960" w:leftChars="400"/>
    </w:pPr>
  </w:style>
  <w:style w:type="paragraph" w:styleId="14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61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16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7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156" w:after="156"/>
    </w:pPr>
    <w:rPr>
      <w:b/>
    </w:rPr>
  </w:style>
  <w:style w:type="paragraph" w:styleId="19">
    <w:name w:val="toc 2"/>
    <w:basedOn w:val="1"/>
    <w:next w:val="1"/>
    <w:unhideWhenUsed/>
    <w:qFormat/>
    <w:uiPriority w:val="39"/>
    <w:pPr>
      <w:tabs>
        <w:tab w:val="left" w:pos="1050"/>
        <w:tab w:val="right" w:leader="dot" w:pos="8296"/>
      </w:tabs>
      <w:spacing w:before="93" w:beforeLines="30" w:after="93" w:afterLines="30" w:line="336" w:lineRule="auto"/>
      <w:ind w:left="480" w:leftChars="200"/>
    </w:pPr>
  </w:style>
  <w:style w:type="paragraph" w:styleId="20">
    <w:name w:val="annotation subject"/>
    <w:basedOn w:val="11"/>
    <w:next w:val="11"/>
    <w:link w:val="63"/>
    <w:semiHidden/>
    <w:unhideWhenUsed/>
    <w:qFormat/>
    <w:uiPriority w:val="99"/>
    <w:rPr>
      <w:b/>
      <w:bCs/>
    </w:rPr>
  </w:style>
  <w:style w:type="paragraph" w:styleId="21">
    <w:name w:val="Body Text First Indent"/>
    <w:basedOn w:val="12"/>
    <w:link w:val="45"/>
    <w:qFormat/>
    <w:uiPriority w:val="0"/>
    <w:pPr>
      <w:spacing w:before="0" w:beforeLines="0" w:afterLines="0" w:line="240" w:lineRule="auto"/>
      <w:ind w:firstLine="420" w:firstLineChars="100"/>
    </w:pPr>
    <w:rPr>
      <w:rFonts w:ascii="Calibri" w:hAnsi="Calibri"/>
      <w:sz w:val="21"/>
      <w:szCs w:val="24"/>
    </w:rPr>
  </w:style>
  <w:style w:type="character" w:styleId="24">
    <w:name w:val="FollowedHyperlink"/>
    <w:basedOn w:val="23"/>
    <w:semiHidden/>
    <w:unhideWhenUsed/>
    <w:qFormat/>
    <w:uiPriority w:val="99"/>
    <w:rPr>
      <w:color w:val="800080"/>
      <w:u w:val="single"/>
    </w:rPr>
  </w:style>
  <w:style w:type="character" w:styleId="25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customStyle="1" w:styleId="27">
    <w:name w:val="标题 1 Char"/>
    <w:basedOn w:val="2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8">
    <w:name w:val="标题 2 Char"/>
    <w:basedOn w:val="2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9">
    <w:name w:val="标题 3 Char"/>
    <w:basedOn w:val="23"/>
    <w:link w:val="4"/>
    <w:qFormat/>
    <w:uiPriority w:val="9"/>
    <w:rPr>
      <w:b/>
      <w:bCs/>
      <w:sz w:val="32"/>
      <w:szCs w:val="32"/>
    </w:rPr>
  </w:style>
  <w:style w:type="character" w:customStyle="1" w:styleId="30">
    <w:name w:val="标题 4 Char"/>
    <w:basedOn w:val="23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1">
    <w:name w:val="标题 5 Char"/>
    <w:basedOn w:val="23"/>
    <w:link w:val="6"/>
    <w:semiHidden/>
    <w:qFormat/>
    <w:uiPriority w:val="9"/>
    <w:rPr>
      <w:b/>
      <w:bCs/>
      <w:sz w:val="28"/>
      <w:szCs w:val="28"/>
    </w:rPr>
  </w:style>
  <w:style w:type="character" w:customStyle="1" w:styleId="32">
    <w:name w:val="标题 6 Char"/>
    <w:basedOn w:val="23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3">
    <w:name w:val="标题 7 Char"/>
    <w:basedOn w:val="23"/>
    <w:link w:val="8"/>
    <w:semiHidden/>
    <w:qFormat/>
    <w:uiPriority w:val="9"/>
    <w:rPr>
      <w:b/>
      <w:bCs/>
      <w:sz w:val="24"/>
      <w:szCs w:val="24"/>
    </w:rPr>
  </w:style>
  <w:style w:type="character" w:customStyle="1" w:styleId="34">
    <w:name w:val="标题 8 Char"/>
    <w:basedOn w:val="23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5">
    <w:name w:val="标题 9 Char"/>
    <w:basedOn w:val="23"/>
    <w:link w:val="10"/>
    <w:semiHidden/>
    <w:qFormat/>
    <w:uiPriority w:val="9"/>
    <w:rPr>
      <w:rFonts w:asciiTheme="majorHAnsi" w:hAnsiTheme="majorHAnsi" w:eastAsiaTheme="majorEastAsia" w:cstheme="majorBidi"/>
      <w:sz w:val="24"/>
      <w:szCs w:val="21"/>
    </w:rPr>
  </w:style>
  <w:style w:type="character" w:customStyle="1" w:styleId="36">
    <w:name w:val="日期 Char"/>
    <w:basedOn w:val="23"/>
    <w:link w:val="14"/>
    <w:semiHidden/>
    <w:qFormat/>
    <w:uiPriority w:val="99"/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character" w:customStyle="1" w:styleId="38">
    <w:name w:val="页眉 Char"/>
    <w:basedOn w:val="23"/>
    <w:link w:val="17"/>
    <w:qFormat/>
    <w:uiPriority w:val="99"/>
    <w:rPr>
      <w:sz w:val="18"/>
      <w:szCs w:val="18"/>
    </w:rPr>
  </w:style>
  <w:style w:type="character" w:customStyle="1" w:styleId="39">
    <w:name w:val="页脚 Char"/>
    <w:basedOn w:val="23"/>
    <w:link w:val="16"/>
    <w:qFormat/>
    <w:uiPriority w:val="99"/>
    <w:rPr>
      <w:sz w:val="18"/>
      <w:szCs w:val="18"/>
    </w:rPr>
  </w:style>
  <w:style w:type="paragraph" w:customStyle="1" w:styleId="40">
    <w:name w:val="0表格样式"/>
    <w:basedOn w:val="1"/>
    <w:qFormat/>
    <w:locked/>
    <w:uiPriority w:val="0"/>
    <w:pPr>
      <w:spacing w:before="0" w:beforeLines="0" w:after="0" w:afterLines="0" w:line="240" w:lineRule="auto"/>
    </w:pPr>
    <w:rPr>
      <w:rFonts w:ascii="Times New Roman" w:hAnsi="Times New Roman" w:eastAsia="宋体" w:cs="黑体"/>
      <w:sz w:val="21"/>
      <w:szCs w:val="21"/>
    </w:rPr>
  </w:style>
  <w:style w:type="paragraph" w:customStyle="1" w:styleId="41">
    <w:name w:val="0表头样式"/>
    <w:basedOn w:val="40"/>
    <w:qFormat/>
    <w:locked/>
    <w:uiPriority w:val="0"/>
    <w:pPr>
      <w:jc w:val="center"/>
    </w:pPr>
    <w:rPr>
      <w:b/>
    </w:rPr>
  </w:style>
  <w:style w:type="character" w:customStyle="1" w:styleId="42">
    <w:name w:val="0段落文字 Char"/>
    <w:link w:val="43"/>
    <w:qFormat/>
    <w:uiPriority w:val="0"/>
    <w:rPr>
      <w:sz w:val="24"/>
      <w:szCs w:val="21"/>
    </w:rPr>
  </w:style>
  <w:style w:type="paragraph" w:customStyle="1" w:styleId="43">
    <w:name w:val="0段落文字"/>
    <w:basedOn w:val="1"/>
    <w:link w:val="42"/>
    <w:qFormat/>
    <w:locked/>
    <w:uiPriority w:val="0"/>
    <w:pPr>
      <w:spacing w:before="0" w:beforeLines="0" w:after="0" w:afterLines="0"/>
      <w:ind w:firstLine="200" w:firstLineChars="200"/>
    </w:pPr>
    <w:rPr>
      <w:szCs w:val="21"/>
    </w:rPr>
  </w:style>
  <w:style w:type="character" w:customStyle="1" w:styleId="44">
    <w:name w:val="题注 字符2"/>
    <w:qFormat/>
    <w:uiPriority w:val="0"/>
    <w:rPr>
      <w:rFonts w:ascii="Arial" w:hAnsi="Arial" w:eastAsia="方正黑体_GBK" w:cs="Arial"/>
      <w:b/>
      <w:sz w:val="25"/>
      <w:u w:val="single"/>
      <w:lang w:val="zh-CN"/>
    </w:rPr>
  </w:style>
  <w:style w:type="character" w:customStyle="1" w:styleId="45">
    <w:name w:val="正文首行缩进 Char"/>
    <w:link w:val="21"/>
    <w:qFormat/>
    <w:uiPriority w:val="0"/>
    <w:rPr>
      <w:rFonts w:ascii="Calibri" w:hAnsi="Calibri"/>
      <w:szCs w:val="24"/>
    </w:rPr>
  </w:style>
  <w:style w:type="character" w:customStyle="1" w:styleId="46">
    <w:name w:val="正文文本 Char"/>
    <w:basedOn w:val="23"/>
    <w:link w:val="12"/>
    <w:semiHidden/>
    <w:qFormat/>
    <w:uiPriority w:val="99"/>
    <w:rPr>
      <w:sz w:val="24"/>
    </w:rPr>
  </w:style>
  <w:style w:type="character" w:customStyle="1" w:styleId="47">
    <w:name w:val="正文首行缩进 Char1"/>
    <w:basedOn w:val="46"/>
    <w:semiHidden/>
    <w:qFormat/>
    <w:uiPriority w:val="99"/>
    <w:rPr>
      <w:sz w:val="24"/>
    </w:rPr>
  </w:style>
  <w:style w:type="paragraph" w:customStyle="1" w:styleId="48">
    <w:name w:val="！正文 Alt+0"/>
    <w:basedOn w:val="1"/>
    <w:qFormat/>
    <w:uiPriority w:val="0"/>
    <w:pPr>
      <w:snapToGrid w:val="0"/>
      <w:spacing w:before="0" w:beforeLines="0" w:after="0" w:afterLines="0"/>
      <w:ind w:firstLine="200" w:firstLineChars="200"/>
    </w:pPr>
    <w:rPr>
      <w:rFonts w:ascii="Times New Roman" w:hAnsi="Times New Roman" w:eastAsia="宋体" w:cs="Times New Roman"/>
      <w:szCs w:val="28"/>
    </w:rPr>
  </w:style>
  <w:style w:type="paragraph" w:customStyle="1" w:styleId="49">
    <w:name w:val="GP正文(无首行缩进)"/>
    <w:basedOn w:val="1"/>
    <w:qFormat/>
    <w:uiPriority w:val="99"/>
    <w:pPr>
      <w:spacing w:before="0" w:beforeLines="0" w:after="0" w:afterLines="0"/>
      <w:ind w:firstLine="480" w:firstLineChars="200"/>
    </w:pPr>
    <w:rPr>
      <w:rFonts w:ascii="Times New Roman" w:hAnsi="宋体" w:eastAsia="宋体" w:cs="Times New Roman"/>
      <w:szCs w:val="24"/>
    </w:rPr>
  </w:style>
  <w:style w:type="paragraph" w:customStyle="1" w:styleId="50">
    <w:name w:val="_Style 129"/>
    <w:basedOn w:val="1"/>
    <w:next w:val="37"/>
    <w:qFormat/>
    <w:uiPriority w:val="34"/>
    <w:pPr>
      <w:spacing w:before="0" w:beforeLines="0" w:after="0" w:afterLines="0" w:line="240" w:lineRule="auto"/>
      <w:ind w:firstLine="420" w:firstLineChars="200"/>
    </w:pPr>
    <w:rPr>
      <w:rFonts w:ascii="Calibri" w:hAnsi="Calibri" w:eastAsia="宋体" w:cs="Times New Roman"/>
      <w:sz w:val="21"/>
      <w:szCs w:val="20"/>
    </w:rPr>
  </w:style>
  <w:style w:type="paragraph" w:customStyle="1" w:styleId="51">
    <w:name w:val="rtcspage_rtcscontent &gt; p"/>
    <w:basedOn w:val="1"/>
    <w:qFormat/>
    <w:uiPriority w:val="0"/>
    <w:pPr>
      <w:widowControl/>
      <w:pBdr>
        <w:top w:val="none" w:color="auto" w:sz="0" w:space="6"/>
        <w:bottom w:val="none" w:color="auto" w:sz="0" w:space="6"/>
      </w:pBdr>
      <w:spacing w:before="0" w:beforeLines="0" w:after="0" w:afterLines="0" w:line="360" w:lineRule="atLeast"/>
      <w:jc w:val="left"/>
    </w:pPr>
    <w:rPr>
      <w:rFonts w:ascii="Times New Roman" w:hAnsi="Times New Roman" w:cs="Times New Roman"/>
      <w:kern w:val="0"/>
      <w:szCs w:val="24"/>
    </w:rPr>
  </w:style>
  <w:style w:type="character" w:customStyle="1" w:styleId="52">
    <w:name w:val="div_class_1_rtcscls1_r_4"/>
    <w:basedOn w:val="23"/>
    <w:qFormat/>
    <w:uiPriority w:val="0"/>
  </w:style>
  <w:style w:type="character" w:customStyle="1" w:styleId="53">
    <w:name w:val="div_class_1_rtcscls1_r_5"/>
    <w:basedOn w:val="23"/>
    <w:qFormat/>
    <w:uiPriority w:val="0"/>
  </w:style>
  <w:style w:type="character" w:customStyle="1" w:styleId="54">
    <w:name w:val="div_class_1_rtcscls1_r_2"/>
    <w:basedOn w:val="23"/>
    <w:qFormat/>
    <w:uiPriority w:val="0"/>
  </w:style>
  <w:style w:type="character" w:customStyle="1" w:styleId="55">
    <w:name w:val="div_class_2_rtcscls2_r_1"/>
    <w:basedOn w:val="23"/>
    <w:qFormat/>
    <w:uiPriority w:val="0"/>
  </w:style>
  <w:style w:type="character" w:customStyle="1" w:styleId="56">
    <w:name w:val="div_class_2_rtcscls2_r_2"/>
    <w:basedOn w:val="23"/>
    <w:qFormat/>
    <w:uiPriority w:val="0"/>
  </w:style>
  <w:style w:type="character" w:customStyle="1" w:styleId="57">
    <w:name w:val="！正文 Char"/>
    <w:link w:val="58"/>
    <w:qFormat/>
    <w:uiPriority w:val="0"/>
    <w:rPr>
      <w:sz w:val="24"/>
    </w:rPr>
  </w:style>
  <w:style w:type="paragraph" w:customStyle="1" w:styleId="58">
    <w:name w:val="！正文"/>
    <w:basedOn w:val="1"/>
    <w:link w:val="57"/>
    <w:qFormat/>
    <w:uiPriority w:val="0"/>
    <w:pPr>
      <w:spacing w:before="0" w:beforeLines="0" w:after="0" w:afterLines="0"/>
      <w:ind w:firstLine="200" w:firstLineChars="200"/>
    </w:pPr>
  </w:style>
  <w:style w:type="paragraph" w:customStyle="1" w:styleId="59">
    <w:name w:val="TOC Heading"/>
    <w:basedOn w:val="2"/>
    <w:next w:val="1"/>
    <w:unhideWhenUsed/>
    <w:qFormat/>
    <w:uiPriority w:val="39"/>
    <w:pPr>
      <w:widowControl/>
      <w:numPr>
        <w:numId w:val="0"/>
      </w:numPr>
      <w:spacing w:before="240" w:beforeLines="0" w:after="0" w:afterLines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60">
    <w:name w:val="正文1"/>
    <w:qFormat/>
    <w:uiPriority w:val="0"/>
    <w:pPr>
      <w:jc w:val="both"/>
    </w:pPr>
    <w:rPr>
      <w:rFonts w:ascii="等线" w:hAnsi="等线" w:eastAsia="宋体" w:cs="宋体"/>
      <w:kern w:val="2"/>
      <w:sz w:val="21"/>
      <w:szCs w:val="21"/>
      <w:lang w:val="en-US" w:eastAsia="zh-CN" w:bidi="ar-SA"/>
    </w:rPr>
  </w:style>
  <w:style w:type="character" w:customStyle="1" w:styleId="61">
    <w:name w:val="批注框文本 Char"/>
    <w:basedOn w:val="23"/>
    <w:link w:val="15"/>
    <w:semiHidden/>
    <w:qFormat/>
    <w:uiPriority w:val="99"/>
    <w:rPr>
      <w:sz w:val="18"/>
      <w:szCs w:val="18"/>
    </w:rPr>
  </w:style>
  <w:style w:type="character" w:customStyle="1" w:styleId="62">
    <w:name w:val="批注文字 Char"/>
    <w:basedOn w:val="23"/>
    <w:link w:val="11"/>
    <w:semiHidden/>
    <w:qFormat/>
    <w:uiPriority w:val="99"/>
    <w:rPr>
      <w:sz w:val="24"/>
    </w:rPr>
  </w:style>
  <w:style w:type="character" w:customStyle="1" w:styleId="63">
    <w:name w:val="批注主题 Char"/>
    <w:basedOn w:val="62"/>
    <w:link w:val="20"/>
    <w:semiHidden/>
    <w:qFormat/>
    <w:uiPriority w:val="99"/>
    <w:rPr>
      <w:b/>
      <w:bCs/>
      <w:sz w:val="24"/>
    </w:rPr>
  </w:style>
  <w:style w:type="paragraph" w:customStyle="1" w:styleId="64">
    <w:name w:val="font5"/>
    <w:basedOn w:val="1"/>
    <w:qFormat/>
    <w:uiPriority w:val="0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68"/>
    <w:basedOn w:val="1"/>
    <w:qFormat/>
    <w:uiPriority w:val="0"/>
    <w:pPr>
      <w:widowControl/>
      <w:spacing w:before="100" w:beforeLines="0" w:beforeAutospacing="1" w:after="100" w:afterLines="0" w:afterAutospacing="1" w:line="240" w:lineRule="auto"/>
      <w:jc w:val="center"/>
    </w:pPr>
    <w:rPr>
      <w:rFonts w:ascii="宋体" w:hAnsi="宋体" w:eastAsia="宋体" w:cs="宋体"/>
      <w:kern w:val="0"/>
      <w:szCs w:val="24"/>
    </w:rPr>
  </w:style>
  <w:style w:type="paragraph" w:customStyle="1" w:styleId="66">
    <w:name w:val="xl69"/>
    <w:basedOn w:val="1"/>
    <w:qFormat/>
    <w:uiPriority w:val="0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paragraph" w:customStyle="1" w:styleId="67">
    <w:name w:val="xl70"/>
    <w:basedOn w:val="1"/>
    <w:qFormat/>
    <w:uiPriority w:val="0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b/>
      <w:bCs/>
      <w:kern w:val="0"/>
      <w:szCs w:val="24"/>
    </w:rPr>
  </w:style>
  <w:style w:type="paragraph" w:customStyle="1" w:styleId="6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7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8">
    <w:name w:val="xl8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9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0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1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3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84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5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86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87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8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89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0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91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92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3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4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5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6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97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8">
    <w:name w:val="xl101"/>
    <w:basedOn w:val="1"/>
    <w:qFormat/>
    <w:uiPriority w:val="0"/>
    <w:pPr>
      <w:widowControl/>
      <w:spacing w:before="100" w:beforeLines="0" w:beforeAutospacing="1" w:after="100" w:afterLines="0" w:afterAutospacing="1" w:line="240" w:lineRule="auto"/>
      <w:jc w:val="center"/>
    </w:pPr>
    <w:rPr>
      <w:rFonts w:ascii="宋体" w:hAnsi="宋体" w:eastAsia="宋体" w:cs="宋体"/>
      <w:kern w:val="0"/>
      <w:szCs w:val="24"/>
    </w:rPr>
  </w:style>
  <w:style w:type="paragraph" w:customStyle="1" w:styleId="99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center"/>
    </w:pPr>
    <w:rPr>
      <w:rFonts w:ascii="宋体" w:hAnsi="宋体" w:eastAsia="宋体" w:cs="宋体"/>
      <w:b/>
      <w:bCs/>
      <w:kern w:val="0"/>
      <w:szCs w:val="24"/>
    </w:rPr>
  </w:style>
  <w:style w:type="paragraph" w:customStyle="1" w:styleId="100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jc w:val="center"/>
    </w:pPr>
    <w:rPr>
      <w:rFonts w:ascii="宋体" w:hAnsi="宋体" w:eastAsia="宋体" w:cs="宋体"/>
      <w:b/>
      <w:bCs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1598B-8F9A-466E-9A54-9BFB15D014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95</Pages>
  <Words>8851</Words>
  <Characters>50454</Characters>
  <Lines>420</Lines>
  <Paragraphs>118</Paragraphs>
  <TotalTime>2</TotalTime>
  <ScaleCrop>false</ScaleCrop>
  <LinksUpToDate>false</LinksUpToDate>
  <CharactersWithSpaces>59187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2021-04-05T06:19:00Z</dcterms:created>
  <dc:creator>8618902728757</dc:creator>
  <cp:lastModifiedBy>小镇</cp:lastModifiedBy>
  <cp:lastPrinted>2023-11-23T07:21:00Z</cp:lastPrinted>
  <dcterms:modified xsi:type="dcterms:W3CDTF">2023-11-24T00:06:07Z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DB74108CE49A46D9B34E8C35A5FD5929_13</vt:lpwstr>
  </property>
</Properties>
</file>