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0DF" w:rsidRDefault="00E200DF" w:rsidP="00E200DF">
      <w:pPr>
        <w:widowControl/>
        <w:shd w:val="clear" w:color="auto" w:fill="FFFFFF"/>
        <w:spacing w:beforeLines="50" w:before="158" w:afterLines="50" w:after="158" w:line="440" w:lineRule="exact"/>
        <w:jc w:val="center"/>
        <w:rPr>
          <w:rFonts w:ascii="宋体" w:hAnsi="宋体" w:cs="宋体"/>
          <w:b/>
          <w:bCs/>
          <w:color w:val="000000" w:themeColor="text1"/>
          <w:kern w:val="0"/>
          <w:sz w:val="28"/>
          <w:szCs w:val="28"/>
          <w:shd w:val="clear" w:color="auto" w:fill="FFFFFF"/>
          <w:lang w:bidi="ar"/>
        </w:rPr>
      </w:pPr>
      <w:bookmarkStart w:id="0" w:name="_GoBack"/>
      <w:r>
        <w:rPr>
          <w:rFonts w:ascii="宋体" w:eastAsia="宋体" w:hAnsi="宋体" w:cs="宋体" w:hint="eastAsia"/>
          <w:b/>
          <w:bCs/>
          <w:color w:val="000000" w:themeColor="text1"/>
          <w:kern w:val="0"/>
          <w:sz w:val="28"/>
          <w:szCs w:val="28"/>
          <w:shd w:val="clear" w:color="auto" w:fill="FFFFFF"/>
          <w:lang w:bidi="ar"/>
        </w:rPr>
        <w:t>汕头职业技术学院法律风险清单及处置办法</w:t>
      </w:r>
    </w:p>
    <w:bookmarkEnd w:id="0"/>
    <w:p w:rsidR="00E200DF" w:rsidRDefault="00E200DF" w:rsidP="00E200DF">
      <w:pPr>
        <w:widowControl/>
        <w:spacing w:beforeLines="50" w:before="158" w:afterLines="50" w:after="158" w:line="440" w:lineRule="exact"/>
        <w:jc w:val="center"/>
        <w:rPr>
          <w:rFonts w:ascii="宋体" w:hAnsi="宋体" w:cs="宋体"/>
          <w:b/>
          <w:bCs/>
          <w:color w:val="000000" w:themeColor="text1"/>
          <w:kern w:val="0"/>
          <w:sz w:val="28"/>
          <w:szCs w:val="28"/>
          <w:shd w:val="clear" w:color="auto" w:fill="FFFFFF"/>
          <w:lang w:bidi="ar"/>
        </w:rPr>
      </w:pPr>
      <w:r>
        <w:rPr>
          <w:rFonts w:ascii="宋体" w:eastAsia="宋体" w:hAnsi="宋体" w:cs="宋体" w:hint="eastAsia"/>
          <w:sz w:val="24"/>
          <w:szCs w:val="24"/>
        </w:rPr>
        <w:t>（</w:t>
      </w:r>
      <w:proofErr w:type="gramStart"/>
      <w:r>
        <w:rPr>
          <w:rFonts w:ascii="宋体" w:eastAsia="宋体" w:hAnsi="宋体" w:cs="宋体" w:hint="eastAsia"/>
          <w:sz w:val="24"/>
          <w:szCs w:val="24"/>
        </w:rPr>
        <w:t>汕</w:t>
      </w:r>
      <w:proofErr w:type="gramEnd"/>
      <w:r>
        <w:rPr>
          <w:rFonts w:ascii="宋体" w:eastAsia="宋体" w:hAnsi="宋体" w:cs="宋体" w:hint="eastAsia"/>
          <w:sz w:val="24"/>
          <w:szCs w:val="24"/>
        </w:rPr>
        <w:t>职院发〔2023〕06号）</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根据《教育部关于进一步加强高等学校法治工作的意见教政法〔2020〕8号》《广东省教育厅关于进一步加强高等学校法治工作的实施意见》及学院章程有关规定，为健全学院法律风险防控体系，特制定本清单及办法。</w:t>
      </w:r>
    </w:p>
    <w:p w:rsidR="00E200DF" w:rsidRDefault="00E200DF" w:rsidP="00E200DF">
      <w:pPr>
        <w:pStyle w:val="a4"/>
        <w:shd w:val="clear" w:color="auto" w:fill="FFFFFF"/>
        <w:spacing w:before="0" w:beforeAutospacing="0" w:after="0" w:afterAutospacing="0" w:line="440" w:lineRule="exact"/>
        <w:ind w:firstLineChars="200" w:firstLine="480"/>
        <w:rPr>
          <w:rFonts w:cs="宋体"/>
          <w:b/>
          <w:color w:val="000000" w:themeColor="text1"/>
          <w:szCs w:val="24"/>
        </w:rPr>
      </w:pPr>
      <w:r>
        <w:rPr>
          <w:rStyle w:val="a5"/>
          <w:rFonts w:cs="宋体" w:hint="eastAsia"/>
          <w:b w:val="0"/>
          <w:color w:val="000000" w:themeColor="text1"/>
          <w:szCs w:val="24"/>
          <w:shd w:val="clear" w:color="auto" w:fill="FFFFFF"/>
        </w:rPr>
        <w:t>一、法律风险清单</w:t>
      </w:r>
    </w:p>
    <w:p w:rsidR="00E200DF" w:rsidRDefault="00E200DF" w:rsidP="00E200DF">
      <w:pPr>
        <w:pStyle w:val="a4"/>
        <w:shd w:val="clear" w:color="auto" w:fill="FFFFFF"/>
        <w:spacing w:before="0" w:beforeAutospacing="0" w:after="0" w:afterAutospacing="0" w:line="440" w:lineRule="exact"/>
        <w:ind w:firstLineChars="200" w:firstLine="480"/>
        <w:rPr>
          <w:rFonts w:cs="宋体"/>
          <w:bCs/>
          <w:color w:val="000000" w:themeColor="text1"/>
          <w:szCs w:val="24"/>
        </w:rPr>
      </w:pPr>
      <w:r>
        <w:rPr>
          <w:rFonts w:cs="宋体" w:hint="eastAsia"/>
          <w:bCs/>
          <w:color w:val="000000" w:themeColor="text1"/>
          <w:szCs w:val="24"/>
          <w:shd w:val="clear" w:color="auto" w:fill="FFFFFF"/>
        </w:rPr>
        <w:t>根据学院的法治建设经验，学院日常可能涉及的法律风险类型包括行政事务风险、知识产权风险、肖像权名誉权风险、合同风险等，具体风险点及风险等级（根据风险发生时对学院的影响大小确定）如下：</w:t>
      </w:r>
    </w:p>
    <w:tbl>
      <w:tblPr>
        <w:tblW w:w="9573" w:type="dxa"/>
        <w:jc w:val="center"/>
        <w:shd w:val="clear" w:color="auto" w:fill="FFFFFF"/>
        <w:tblLayout w:type="fixed"/>
        <w:tblCellMar>
          <w:left w:w="0" w:type="dxa"/>
          <w:right w:w="0" w:type="dxa"/>
        </w:tblCellMar>
        <w:tblLook w:val="04A0" w:firstRow="1" w:lastRow="0" w:firstColumn="1" w:lastColumn="0" w:noHBand="0" w:noVBand="1"/>
      </w:tblPr>
      <w:tblGrid>
        <w:gridCol w:w="692"/>
        <w:gridCol w:w="1708"/>
        <w:gridCol w:w="2630"/>
        <w:gridCol w:w="3670"/>
        <w:gridCol w:w="873"/>
      </w:tblGrid>
      <w:tr w:rsidR="00E200DF" w:rsidTr="003B2714">
        <w:trPr>
          <w:trHeight w:val="654"/>
          <w:jc w:val="center"/>
        </w:trPr>
        <w:tc>
          <w:tcPr>
            <w:tcW w:w="6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Style w:val="a5"/>
                <w:rFonts w:cs="宋体" w:hint="eastAsia"/>
                <w:b w:val="0"/>
                <w:color w:val="000000" w:themeColor="text1"/>
                <w:szCs w:val="24"/>
              </w:rPr>
              <w:t>序号</w:t>
            </w:r>
          </w:p>
        </w:tc>
        <w:tc>
          <w:tcPr>
            <w:tcW w:w="4338"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Style w:val="a5"/>
                <w:rFonts w:cs="宋体" w:hint="eastAsia"/>
                <w:b w:val="0"/>
                <w:color w:val="000000" w:themeColor="text1"/>
                <w:szCs w:val="24"/>
              </w:rPr>
              <w:t>核心法律风险类型</w:t>
            </w:r>
          </w:p>
        </w:tc>
        <w:tc>
          <w:tcPr>
            <w:tcW w:w="36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Style w:val="a5"/>
                <w:rFonts w:cs="宋体" w:hint="eastAsia"/>
                <w:b w:val="0"/>
                <w:color w:val="000000" w:themeColor="text1"/>
                <w:szCs w:val="24"/>
              </w:rPr>
              <w:t>关注要点</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Style w:val="a5"/>
                <w:rFonts w:cs="宋体" w:hint="eastAsia"/>
                <w:b w:val="0"/>
                <w:color w:val="000000" w:themeColor="text1"/>
                <w:szCs w:val="24"/>
              </w:rPr>
              <w:t>风险等级</w:t>
            </w:r>
          </w:p>
        </w:tc>
      </w:tr>
      <w:tr w:rsidR="00E200DF" w:rsidTr="003B2714">
        <w:trPr>
          <w:trHeight w:val="492"/>
          <w:jc w:val="center"/>
        </w:trPr>
        <w:tc>
          <w:tcPr>
            <w:tcW w:w="6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widowControl/>
              <w:numPr>
                <w:ilvl w:val="0"/>
                <w:numId w:val="1"/>
              </w:numPr>
              <w:spacing w:line="440" w:lineRule="exact"/>
              <w:ind w:left="0"/>
              <w:rPr>
                <w:rFonts w:ascii="宋体" w:hAnsi="宋体" w:cs="宋体"/>
                <w:color w:val="000000" w:themeColor="text1"/>
                <w:sz w:val="24"/>
              </w:rPr>
            </w:pP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1</w:t>
            </w:r>
          </w:p>
          <w:p w:rsidR="00E200DF" w:rsidRDefault="00E200DF" w:rsidP="003B2714">
            <w:pPr>
              <w:widowControl/>
              <w:numPr>
                <w:ilvl w:val="0"/>
                <w:numId w:val="1"/>
              </w:numPr>
              <w:spacing w:line="440" w:lineRule="exact"/>
              <w:ind w:left="0"/>
              <w:rPr>
                <w:rFonts w:ascii="宋体" w:hAnsi="宋体" w:cs="宋体"/>
                <w:color w:val="000000" w:themeColor="text1"/>
                <w:sz w:val="24"/>
              </w:rPr>
            </w:pPr>
          </w:p>
        </w:tc>
        <w:tc>
          <w:tcPr>
            <w:tcW w:w="17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行政事务</w:t>
            </w: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风险</w:t>
            </w: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对学生的行为处分</w:t>
            </w:r>
          </w:p>
        </w:tc>
        <w:tc>
          <w:tcPr>
            <w:tcW w:w="36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（1）相关行政事务处理程序合</w:t>
            </w:r>
            <w:proofErr w:type="gramStart"/>
            <w:r>
              <w:rPr>
                <w:rFonts w:cs="宋体" w:hint="eastAsia"/>
                <w:color w:val="000000" w:themeColor="text1"/>
                <w:szCs w:val="24"/>
              </w:rPr>
              <w:t>规</w:t>
            </w:r>
            <w:proofErr w:type="gramEnd"/>
            <w:r>
              <w:rPr>
                <w:rFonts w:cs="宋体" w:hint="eastAsia"/>
                <w:color w:val="000000" w:themeColor="text1"/>
                <w:szCs w:val="24"/>
              </w:rPr>
              <w:t>性；</w:t>
            </w:r>
          </w:p>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（2）学生及教职工投诉、申诉回复流程的合法合</w:t>
            </w:r>
            <w:proofErr w:type="gramStart"/>
            <w:r>
              <w:rPr>
                <w:rFonts w:cs="宋体" w:hint="eastAsia"/>
                <w:color w:val="000000" w:themeColor="text1"/>
                <w:szCs w:val="24"/>
              </w:rPr>
              <w:t>规</w:t>
            </w:r>
            <w:proofErr w:type="gramEnd"/>
            <w:r>
              <w:rPr>
                <w:rFonts w:cs="宋体" w:hint="eastAsia"/>
                <w:color w:val="000000" w:themeColor="text1"/>
                <w:szCs w:val="24"/>
              </w:rPr>
              <w:t>性。</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中</w:t>
            </w:r>
          </w:p>
        </w:tc>
      </w:tr>
      <w:tr w:rsidR="00E200DF" w:rsidTr="003B2714">
        <w:trPr>
          <w:trHeight w:val="297"/>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jc w:val="center"/>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招生及学籍学位授予</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中</w:t>
            </w:r>
          </w:p>
        </w:tc>
      </w:tr>
      <w:tr w:rsidR="00E200DF" w:rsidTr="003B2714">
        <w:trPr>
          <w:trHeight w:val="162"/>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jc w:val="center"/>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教师行为处分及职称评选</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低</w:t>
            </w:r>
          </w:p>
        </w:tc>
      </w:tr>
      <w:tr w:rsidR="00E200DF" w:rsidTr="003B2714">
        <w:trPr>
          <w:trHeight w:val="443"/>
          <w:jc w:val="center"/>
        </w:trPr>
        <w:tc>
          <w:tcPr>
            <w:tcW w:w="6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widowControl/>
              <w:numPr>
                <w:ilvl w:val="0"/>
                <w:numId w:val="2"/>
              </w:numPr>
              <w:spacing w:line="440" w:lineRule="exact"/>
              <w:ind w:left="0"/>
              <w:rPr>
                <w:rFonts w:ascii="宋体" w:hAnsi="宋体" w:cs="宋体"/>
                <w:color w:val="000000" w:themeColor="text1"/>
                <w:sz w:val="24"/>
              </w:rPr>
            </w:pP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2</w:t>
            </w:r>
          </w:p>
          <w:p w:rsidR="00E200DF" w:rsidRDefault="00E200DF" w:rsidP="003B2714">
            <w:pPr>
              <w:widowControl/>
              <w:numPr>
                <w:ilvl w:val="0"/>
                <w:numId w:val="2"/>
              </w:numPr>
              <w:spacing w:line="440" w:lineRule="exact"/>
              <w:ind w:left="0"/>
              <w:rPr>
                <w:rFonts w:ascii="宋体" w:hAnsi="宋体" w:cs="宋体"/>
                <w:color w:val="000000" w:themeColor="text1"/>
                <w:sz w:val="24"/>
              </w:rPr>
            </w:pPr>
          </w:p>
        </w:tc>
        <w:tc>
          <w:tcPr>
            <w:tcW w:w="17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知识产权</w:t>
            </w: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风险</w:t>
            </w: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著作权许可及著作权转让</w:t>
            </w:r>
          </w:p>
        </w:tc>
        <w:tc>
          <w:tcPr>
            <w:tcW w:w="36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（1）学院法人或个人职务作品的知识产权归属；</w:t>
            </w:r>
          </w:p>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（2）知识产权许可、转让的合法合</w:t>
            </w:r>
            <w:proofErr w:type="gramStart"/>
            <w:r>
              <w:rPr>
                <w:rFonts w:cs="宋体" w:hint="eastAsia"/>
                <w:color w:val="000000" w:themeColor="text1"/>
                <w:szCs w:val="24"/>
              </w:rPr>
              <w:t>规</w:t>
            </w:r>
            <w:proofErr w:type="gramEnd"/>
            <w:r>
              <w:rPr>
                <w:rFonts w:cs="宋体" w:hint="eastAsia"/>
                <w:color w:val="000000" w:themeColor="text1"/>
                <w:szCs w:val="24"/>
              </w:rPr>
              <w:t>性；</w:t>
            </w:r>
          </w:p>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（3）产生知识产权纠纷后的舆情处理机制等。</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66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jc w:val="center"/>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他人未经许可使用学院商标、名称及校徽</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44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jc w:val="center"/>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网络教学知识产权归属</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中</w:t>
            </w:r>
          </w:p>
        </w:tc>
      </w:tr>
      <w:tr w:rsidR="00E200DF" w:rsidTr="003B2714">
        <w:trPr>
          <w:trHeight w:val="443"/>
          <w:jc w:val="center"/>
        </w:trPr>
        <w:tc>
          <w:tcPr>
            <w:tcW w:w="6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widowControl/>
              <w:numPr>
                <w:ilvl w:val="0"/>
                <w:numId w:val="3"/>
              </w:numPr>
              <w:spacing w:line="440" w:lineRule="exact"/>
              <w:ind w:left="0"/>
              <w:rPr>
                <w:rFonts w:ascii="宋体" w:hAnsi="宋体" w:cs="宋体"/>
                <w:color w:val="000000" w:themeColor="text1"/>
                <w:sz w:val="24"/>
              </w:rPr>
            </w:pP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3</w:t>
            </w:r>
          </w:p>
          <w:p w:rsidR="00E200DF" w:rsidRDefault="00E200DF" w:rsidP="003B2714">
            <w:pPr>
              <w:widowControl/>
              <w:numPr>
                <w:ilvl w:val="0"/>
                <w:numId w:val="3"/>
              </w:numPr>
              <w:spacing w:line="440" w:lineRule="exact"/>
              <w:ind w:left="0"/>
              <w:rPr>
                <w:rFonts w:ascii="宋体" w:hAnsi="宋体" w:cs="宋体"/>
                <w:color w:val="000000" w:themeColor="text1"/>
                <w:sz w:val="24"/>
              </w:rPr>
            </w:pPr>
          </w:p>
        </w:tc>
        <w:tc>
          <w:tcPr>
            <w:tcW w:w="17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肖像及名誉权风险</w:t>
            </w: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肖像权侵权风险</w:t>
            </w:r>
          </w:p>
        </w:tc>
        <w:tc>
          <w:tcPr>
            <w:tcW w:w="36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校内活动、校内教学及相关作品所涉及到的对他人肖像权使用的合法合</w:t>
            </w:r>
            <w:proofErr w:type="gramStart"/>
            <w:r>
              <w:rPr>
                <w:rFonts w:cs="宋体" w:hint="eastAsia"/>
                <w:color w:val="000000" w:themeColor="text1"/>
                <w:szCs w:val="24"/>
              </w:rPr>
              <w:t>规</w:t>
            </w:r>
            <w:proofErr w:type="gramEnd"/>
            <w:r>
              <w:rPr>
                <w:rFonts w:cs="宋体" w:hint="eastAsia"/>
                <w:color w:val="000000" w:themeColor="text1"/>
                <w:szCs w:val="24"/>
              </w:rPr>
              <w:t>性，以及对他人名誉权侵权导致的纠纷及舆论处理等。</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44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jc w:val="center"/>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名誉权侵权风险</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663"/>
          <w:jc w:val="center"/>
        </w:trPr>
        <w:tc>
          <w:tcPr>
            <w:tcW w:w="6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widowControl/>
              <w:numPr>
                <w:ilvl w:val="0"/>
                <w:numId w:val="4"/>
              </w:numPr>
              <w:spacing w:line="440" w:lineRule="exact"/>
              <w:ind w:left="0"/>
              <w:rPr>
                <w:rFonts w:ascii="宋体" w:hAnsi="宋体" w:cs="宋体"/>
                <w:color w:val="000000" w:themeColor="text1"/>
                <w:sz w:val="24"/>
              </w:rPr>
            </w:pP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4</w:t>
            </w:r>
          </w:p>
          <w:p w:rsidR="00E200DF" w:rsidRDefault="00E200DF" w:rsidP="003B2714">
            <w:pPr>
              <w:widowControl/>
              <w:numPr>
                <w:ilvl w:val="0"/>
                <w:numId w:val="4"/>
              </w:numPr>
              <w:spacing w:line="440" w:lineRule="exact"/>
              <w:ind w:left="0"/>
              <w:rPr>
                <w:rFonts w:ascii="宋体" w:hAnsi="宋体" w:cs="宋体"/>
                <w:color w:val="000000" w:themeColor="text1"/>
                <w:sz w:val="24"/>
              </w:rPr>
            </w:pPr>
          </w:p>
        </w:tc>
        <w:tc>
          <w:tcPr>
            <w:tcW w:w="17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合同管理</w:t>
            </w: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风险</w:t>
            </w: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采购合同（如设备、物资、食品采购合同等）</w:t>
            </w:r>
          </w:p>
        </w:tc>
        <w:tc>
          <w:tcPr>
            <w:tcW w:w="36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（1）招投标流程合</w:t>
            </w:r>
            <w:proofErr w:type="gramStart"/>
            <w:r>
              <w:rPr>
                <w:rFonts w:cs="宋体" w:hint="eastAsia"/>
                <w:color w:val="000000" w:themeColor="text1"/>
                <w:szCs w:val="24"/>
              </w:rPr>
              <w:t>规</w:t>
            </w:r>
            <w:proofErr w:type="gramEnd"/>
            <w:r>
              <w:rPr>
                <w:rFonts w:cs="宋体" w:hint="eastAsia"/>
                <w:color w:val="000000" w:themeColor="text1"/>
                <w:szCs w:val="24"/>
              </w:rPr>
              <w:t>性；</w:t>
            </w:r>
          </w:p>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（2）合同权利义务、费用及付款、违约责任等核心条款的约定；</w:t>
            </w:r>
          </w:p>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（3）合同审批、签署流程的合</w:t>
            </w:r>
            <w:proofErr w:type="gramStart"/>
            <w:r>
              <w:rPr>
                <w:rFonts w:cs="宋体" w:hint="eastAsia"/>
                <w:color w:val="000000" w:themeColor="text1"/>
                <w:szCs w:val="24"/>
              </w:rPr>
              <w:t>规</w:t>
            </w:r>
            <w:proofErr w:type="gramEnd"/>
            <w:r>
              <w:rPr>
                <w:rFonts w:cs="宋体" w:hint="eastAsia"/>
                <w:color w:val="000000" w:themeColor="text1"/>
                <w:szCs w:val="24"/>
              </w:rPr>
              <w:t>性及风险控制效果等；</w:t>
            </w:r>
          </w:p>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（4）相关合同与法律法规的衔接；</w:t>
            </w:r>
          </w:p>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（5）发生合同纠纷时的处理机制等。</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44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基建合同（如维修、建设合同等）</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44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知识产权相关合同</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44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合作办学/招生合同</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中</w:t>
            </w:r>
          </w:p>
        </w:tc>
      </w:tr>
      <w:tr w:rsidR="00E200DF" w:rsidTr="003B2714">
        <w:trPr>
          <w:trHeight w:val="90"/>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教职工劳动合同</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低</w:t>
            </w:r>
          </w:p>
        </w:tc>
      </w:tr>
      <w:tr w:rsidR="00E200DF" w:rsidTr="003B2714">
        <w:trPr>
          <w:trHeight w:val="443"/>
          <w:jc w:val="center"/>
        </w:trPr>
        <w:tc>
          <w:tcPr>
            <w:tcW w:w="6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widowControl/>
              <w:numPr>
                <w:ilvl w:val="0"/>
                <w:numId w:val="5"/>
              </w:numPr>
              <w:spacing w:line="440" w:lineRule="exact"/>
              <w:ind w:left="0"/>
              <w:rPr>
                <w:rFonts w:ascii="宋体" w:hAnsi="宋体" w:cs="宋体"/>
                <w:color w:val="000000" w:themeColor="text1"/>
                <w:sz w:val="24"/>
              </w:rPr>
            </w:pP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5</w:t>
            </w:r>
          </w:p>
          <w:p w:rsidR="00E200DF" w:rsidRDefault="00E200DF" w:rsidP="003B2714">
            <w:pPr>
              <w:widowControl/>
              <w:numPr>
                <w:ilvl w:val="0"/>
                <w:numId w:val="5"/>
              </w:numPr>
              <w:spacing w:line="440" w:lineRule="exact"/>
              <w:ind w:left="0"/>
              <w:rPr>
                <w:rFonts w:ascii="宋体" w:hAnsi="宋体" w:cs="宋体"/>
                <w:color w:val="000000" w:themeColor="text1"/>
                <w:sz w:val="24"/>
              </w:rPr>
            </w:pPr>
          </w:p>
        </w:tc>
        <w:tc>
          <w:tcPr>
            <w:tcW w:w="17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人身</w:t>
            </w: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侵害风险</w:t>
            </w: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故意伤害</w:t>
            </w:r>
          </w:p>
        </w:tc>
        <w:tc>
          <w:tcPr>
            <w:tcW w:w="36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（1）学院设备设施的安全性；</w:t>
            </w:r>
          </w:p>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（2）安防系统的完善；</w:t>
            </w:r>
          </w:p>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（3）发生人身侵害事件时的应急处理机制，包括对教职工人员的心理疏导等。</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44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jc w:val="center"/>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意外事故</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中</w:t>
            </w:r>
          </w:p>
        </w:tc>
      </w:tr>
      <w:tr w:rsidR="00E200DF" w:rsidTr="003B2714">
        <w:trPr>
          <w:trHeight w:val="44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jc w:val="center"/>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自伤行为</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中</w:t>
            </w:r>
          </w:p>
        </w:tc>
      </w:tr>
      <w:tr w:rsidR="00E200DF" w:rsidTr="003B2714">
        <w:trPr>
          <w:trHeight w:val="44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jc w:val="center"/>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设施设备问题致损</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中</w:t>
            </w:r>
          </w:p>
        </w:tc>
      </w:tr>
      <w:tr w:rsidR="00E200DF" w:rsidTr="003B2714">
        <w:trPr>
          <w:trHeight w:val="443"/>
          <w:jc w:val="center"/>
        </w:trPr>
        <w:tc>
          <w:tcPr>
            <w:tcW w:w="6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widowControl/>
              <w:numPr>
                <w:ilvl w:val="0"/>
                <w:numId w:val="6"/>
              </w:numPr>
              <w:spacing w:line="440" w:lineRule="exact"/>
              <w:ind w:left="0"/>
              <w:rPr>
                <w:rFonts w:ascii="宋体" w:hAnsi="宋体" w:cs="宋体"/>
                <w:color w:val="000000" w:themeColor="text1"/>
                <w:sz w:val="24"/>
              </w:rPr>
            </w:pP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6</w:t>
            </w:r>
          </w:p>
          <w:p w:rsidR="00E200DF" w:rsidRDefault="00E200DF" w:rsidP="003B2714">
            <w:pPr>
              <w:widowControl/>
              <w:numPr>
                <w:ilvl w:val="0"/>
                <w:numId w:val="6"/>
              </w:numPr>
              <w:spacing w:line="440" w:lineRule="exact"/>
              <w:ind w:left="0"/>
              <w:rPr>
                <w:rFonts w:ascii="宋体" w:hAnsi="宋体" w:cs="宋体"/>
                <w:color w:val="000000" w:themeColor="text1"/>
                <w:sz w:val="24"/>
              </w:rPr>
            </w:pPr>
          </w:p>
        </w:tc>
        <w:tc>
          <w:tcPr>
            <w:tcW w:w="17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刑事风险</w:t>
            </w: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个人职务犯罪</w:t>
            </w:r>
          </w:p>
        </w:tc>
        <w:tc>
          <w:tcPr>
            <w:tcW w:w="36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（1）部分教职工或学生因缺乏法律意识实施犯罪的预防和处理；</w:t>
            </w:r>
          </w:p>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（2）学院对待刑事犯罪相关人员的惩罚措施，校内惩戒措施与法律规定的刑事责任妥善衔接等。</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44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jc w:val="center"/>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个人一般犯罪</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443"/>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jc w:val="center"/>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单位犯罪</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高</w:t>
            </w:r>
          </w:p>
        </w:tc>
      </w:tr>
      <w:tr w:rsidR="00E200DF" w:rsidTr="003B2714">
        <w:trPr>
          <w:trHeight w:val="443"/>
          <w:jc w:val="center"/>
        </w:trPr>
        <w:tc>
          <w:tcPr>
            <w:tcW w:w="6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widowControl/>
              <w:numPr>
                <w:ilvl w:val="0"/>
                <w:numId w:val="7"/>
              </w:numPr>
              <w:spacing w:line="440" w:lineRule="exact"/>
              <w:ind w:left="0"/>
              <w:rPr>
                <w:rFonts w:ascii="宋体" w:hAnsi="宋体" w:cs="宋体"/>
                <w:color w:val="000000" w:themeColor="text1"/>
                <w:sz w:val="24"/>
              </w:rPr>
            </w:pPr>
          </w:p>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7</w:t>
            </w:r>
          </w:p>
          <w:p w:rsidR="00E200DF" w:rsidRDefault="00E200DF" w:rsidP="003B2714">
            <w:pPr>
              <w:widowControl/>
              <w:numPr>
                <w:ilvl w:val="0"/>
                <w:numId w:val="7"/>
              </w:numPr>
              <w:spacing w:line="440" w:lineRule="exact"/>
              <w:ind w:left="0"/>
              <w:rPr>
                <w:rFonts w:ascii="宋体" w:hAnsi="宋体" w:cs="宋体"/>
                <w:color w:val="000000" w:themeColor="text1"/>
                <w:sz w:val="24"/>
              </w:rPr>
            </w:pPr>
          </w:p>
        </w:tc>
        <w:tc>
          <w:tcPr>
            <w:tcW w:w="17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涉外风险</w:t>
            </w: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涉外人员管理</w:t>
            </w:r>
          </w:p>
        </w:tc>
        <w:tc>
          <w:tcPr>
            <w:tcW w:w="36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rPr>
                <w:rFonts w:cs="宋体"/>
                <w:color w:val="000000" w:themeColor="text1"/>
                <w:szCs w:val="24"/>
              </w:rPr>
            </w:pPr>
            <w:r>
              <w:rPr>
                <w:rFonts w:cs="宋体" w:hint="eastAsia"/>
                <w:color w:val="000000" w:themeColor="text1"/>
                <w:szCs w:val="24"/>
              </w:rPr>
              <w:t>对涉外人员相关事宜的管理及涉外信息的保密工作等。</w:t>
            </w: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中</w:t>
            </w:r>
          </w:p>
        </w:tc>
      </w:tr>
      <w:tr w:rsidR="00E200DF" w:rsidTr="003B2714">
        <w:trPr>
          <w:trHeight w:val="432"/>
          <w:jc w:val="center"/>
        </w:trPr>
        <w:tc>
          <w:tcPr>
            <w:tcW w:w="692"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1708"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26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保密管理</w:t>
            </w:r>
          </w:p>
        </w:tc>
        <w:tc>
          <w:tcPr>
            <w:tcW w:w="3670"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spacing w:line="440" w:lineRule="exact"/>
              <w:rPr>
                <w:rFonts w:ascii="宋体" w:hAnsi="宋体" w:cs="宋体"/>
                <w:color w:val="000000" w:themeColor="text1"/>
                <w:sz w:val="24"/>
              </w:rPr>
            </w:pPr>
          </w:p>
        </w:tc>
        <w:tc>
          <w:tcPr>
            <w:tcW w:w="8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E200DF" w:rsidRDefault="00E200DF" w:rsidP="003B2714">
            <w:pPr>
              <w:pStyle w:val="a4"/>
              <w:spacing w:before="0" w:beforeAutospacing="0" w:after="0" w:afterAutospacing="0" w:line="440" w:lineRule="exact"/>
              <w:jc w:val="center"/>
              <w:rPr>
                <w:rFonts w:cs="宋体"/>
                <w:color w:val="000000" w:themeColor="text1"/>
                <w:szCs w:val="24"/>
              </w:rPr>
            </w:pPr>
            <w:r>
              <w:rPr>
                <w:rFonts w:cs="宋体" w:hint="eastAsia"/>
                <w:color w:val="000000" w:themeColor="text1"/>
                <w:szCs w:val="24"/>
              </w:rPr>
              <w:t>中</w:t>
            </w:r>
          </w:p>
        </w:tc>
      </w:tr>
    </w:tbl>
    <w:p w:rsidR="00E200DF" w:rsidRDefault="00E200DF" w:rsidP="00E200DF">
      <w:pPr>
        <w:pStyle w:val="a4"/>
        <w:shd w:val="clear" w:color="auto" w:fill="FFFFFF"/>
        <w:spacing w:before="0" w:beforeAutospacing="0" w:after="0" w:afterAutospacing="0" w:line="440" w:lineRule="exact"/>
        <w:ind w:firstLineChars="200" w:firstLine="480"/>
        <w:rPr>
          <w:rStyle w:val="a5"/>
          <w:rFonts w:cs="宋体"/>
          <w:bCs w:val="0"/>
          <w:color w:val="000000" w:themeColor="text1"/>
          <w:szCs w:val="24"/>
          <w:shd w:val="clear" w:color="auto" w:fill="FFFFFF"/>
        </w:rPr>
      </w:pPr>
      <w:r>
        <w:rPr>
          <w:rStyle w:val="a5"/>
          <w:rFonts w:cs="宋体" w:hint="eastAsia"/>
          <w:b w:val="0"/>
          <w:color w:val="000000" w:themeColor="text1"/>
          <w:szCs w:val="24"/>
          <w:shd w:val="clear" w:color="auto" w:fill="FFFFFF"/>
        </w:rPr>
        <w:t>二、法律风险处置办法</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（一）行政事务风险</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1.加强学院学生事务管理规章制度的合法性建设。以上位法为根本依据，确保学生事务管理规章制度的法律效力，制定并完善学院相关规章制度，并做好规章制度公示工作，从源头上规避法律风险。</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lastRenderedPageBreak/>
        <w:t>2.探索建立校内规章制度合法性的审查机制。通过对校内管理相关规定的把关与审查，及时调整、修改甚至撤销不合理的规范，真正实现校内规范的合法性与适用性。</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3.建立健全学院学生权益保护机构，为学院法治管理提供组织保障。专门负责学生申诉申请受理、日常管理维权咨询、法律援助等工作。在法律风险酝酿的前期阶段及时有效介入，将纠纷解决于初始阶段，确保申诉权利实现的高效透明。</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4.构建参与式的学生事务管理模式。学院可以利用网络载体，凭借线上线下并进的传统文化大讲堂、精神文明单位创建、网络安全教育等主题宣传教育活动开展普法工作，增强在校师生的法律意识。</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（二）知识产权风险</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1.完善学院知识产权保护制度。结合学院的实际情况，制定知识产权工作的具体规划和保护规定。实行知识产权登记管理制度；依托科研处负责对学院及其所属单位签订的知识产权合同进行审核和管理。</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2.以剽窃、窃取、篡改、非法占有、假冒或者以其他方式侵害由学院及其教职员工和学生依法享有或持有的知识产权，学院有处理权的，应责令其改正，并对直接责任人给予相应的处分；学院无处理权的，应提请并协助有关行政部门依法</w:t>
      </w:r>
      <w:proofErr w:type="gramStart"/>
      <w:r>
        <w:rPr>
          <w:rStyle w:val="a5"/>
          <w:rFonts w:cs="宋体" w:hint="eastAsia"/>
          <w:bCs w:val="0"/>
          <w:color w:val="000000" w:themeColor="text1"/>
          <w:szCs w:val="24"/>
          <w:shd w:val="clear" w:color="auto" w:fill="FFFFFF"/>
        </w:rPr>
        <w:t>作出</w:t>
      </w:r>
      <w:proofErr w:type="gramEnd"/>
      <w:r>
        <w:rPr>
          <w:rStyle w:val="a5"/>
          <w:rFonts w:cs="宋体" w:hint="eastAsia"/>
          <w:bCs w:val="0"/>
          <w:color w:val="000000" w:themeColor="text1"/>
          <w:szCs w:val="24"/>
          <w:shd w:val="clear" w:color="auto" w:fill="FFFFFF"/>
        </w:rPr>
        <w:t>处理。构成犯罪的，应当依法追究刑事责任。</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3.在学院教学、科研、创作以及成果的申报、评审、鉴定、产业化活动中，采取欺骗手段，获得优惠待遇或者奖励的，学院应当责令改正，退还非法所得，取消其获得的优惠待遇和奖励。</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4.泄漏学院的保密作品内容，或者擅自转让、变相转让以及许可使用学院法人作品或者教职工职务作品的，或造成学院资产流失和损失的，由学院或其主管教育行政部门对直接责任人员及时给予行政处分。</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（三）肖像及名誉权风险</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1.加强教职工法律风险意识，引导教职工将自己的言论控制在法律允许的范围之内，防止侵害他人的名誉权。</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2.学院加强对个人信息的保护，不随意公布相关人员信息，不侵犯相关人员的隐私，保护相关人员姓名权、名誉权、荣誉权等人格权不受侵犯。</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3.学院日常活动中，相关演出作品应当保证内容符合事实，不损害他人的名誉权、隐私权。且要确保得到肖像权人的授权许可，不侵犯他人肖像权。</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（四）合同管理风险</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lastRenderedPageBreak/>
        <w:t>1.提高学院合同管理人员的法律风险的防范意识。通过开展法律知识定期培训、法律讲座、法律实务专题研讨等多种形式提高学院工作人员的法律素质，尽可能地规避合同中会出现的法律风险。</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2.规范学院合同格式文本，根据学院所涉及各类合同的具体特点，从合同类型上全面把握，以国家相关法律为依据，制定学院所适用的合同范本。推进合同文本标准化、完善化，并积极推行合同范本的广泛适用。</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3.建立有效的合同管理法律风险监控制度，主要包括合同管理实施细则、合同审查会签制度、授权委托制度、合同专用章管理制度、合同台账制度、合同相对方主体资格审查制度及信用管理制度、合同档案管理制度等。</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4.加大学院合同管理执行和监管力度。通过制度的制约、惩罚来规范合同管理的各个细节，并通过严格的考核制度来保障合同管理制度实行的效果；学院应对管理人员制定一套严格的惩罚制度，在监督合同执行不到位的情况下，对其进行教育批评并处罚。</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（五）人身侵害风险</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1.加强校园物防设施建设。进一步完善校舍、围墙、栏杆、教具、教学设施、厕所等公共设施的建设，防止学生翻墙、在操场开展体育活动和上厕所时发生因墙体倒塌、体育器材损坏等造成的意外事故。</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2.重视食品安全，严格监督学院食堂及校外餐饮经销商</w:t>
      </w:r>
      <w:proofErr w:type="gramStart"/>
      <w:r>
        <w:rPr>
          <w:rStyle w:val="a5"/>
          <w:rFonts w:cs="宋体" w:hint="eastAsia"/>
          <w:bCs w:val="0"/>
          <w:color w:val="000000" w:themeColor="text1"/>
          <w:szCs w:val="24"/>
          <w:shd w:val="clear" w:color="auto" w:fill="FFFFFF"/>
        </w:rPr>
        <w:t>的食材安全</w:t>
      </w:r>
      <w:proofErr w:type="gramEnd"/>
      <w:r>
        <w:rPr>
          <w:rStyle w:val="a5"/>
          <w:rFonts w:cs="宋体" w:hint="eastAsia"/>
          <w:bCs w:val="0"/>
          <w:color w:val="000000" w:themeColor="text1"/>
          <w:szCs w:val="24"/>
          <w:shd w:val="clear" w:color="auto" w:fill="FFFFFF"/>
        </w:rPr>
        <w:t>，防止发生集体性食物中毒事件。</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3.健全应急处置机制。优化完善学院突发事件应急预案，提高应急管理水平。组织开展经常性、针对性实战演练，整合力量资源，强化联动响应，细化处置流程，确保一旦发生突发性校园安全事故相关部门和学院能够高效应对、妥善处置。</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4.选聘教职工过程中，充分背调，注意其是否患有不适合担任教职的疾病（如精神病、传染病等），是否曾因刑事犯罪或侵害他人身体受过法律追究。聘用专职门卫和保安员时的要求应更加严格，相关人员应配备相应的护卫器械。进一步规范保卫队伍日常教育和考核评价，加强有关法律知识和治安保卫业务、技能的培训。</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5.推进校园安防系统建设。积极推动新技术、新手段在校园安防建设领域的深度应用，建立健全校园安防预警平台，进一步规范紧急报警、入侵报警、视频监控、出入口控制和电子巡查等系统建设，提升校园安防系统水平。</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lastRenderedPageBreak/>
        <w:t>6.深入推进安全教育和心理教育，提高学生安全意识和自我防护能力作为素质教育的重要内容，加强校园安全课程与资源建设，推动安全教育、法制教育、生命教育和心理健康教育。</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（六）刑事风险</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1.制定规章制度和建立相应的刑事犯罪防范机制，加强教职工及学生的心理疏导，加强对学院日常事务的监督，尽可能避免刑事法律风险。</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2.加强师生法制观念建设。防止出现教师教学过程的暴力行为、以及青少年学生的施暴行为。防止校园暴力事件升级为重大人身伤害性质的刑事犯罪，</w:t>
      </w:r>
      <w:proofErr w:type="gramStart"/>
      <w:r>
        <w:rPr>
          <w:rStyle w:val="a5"/>
          <w:rFonts w:cs="宋体" w:hint="eastAsia"/>
          <w:bCs w:val="0"/>
          <w:color w:val="000000" w:themeColor="text1"/>
          <w:szCs w:val="24"/>
          <w:shd w:val="clear" w:color="auto" w:fill="FFFFFF"/>
        </w:rPr>
        <w:t>当事件</w:t>
      </w:r>
      <w:proofErr w:type="gramEnd"/>
      <w:r>
        <w:rPr>
          <w:rStyle w:val="a5"/>
          <w:rFonts w:cs="宋体" w:hint="eastAsia"/>
          <w:bCs w:val="0"/>
          <w:color w:val="000000" w:themeColor="text1"/>
          <w:szCs w:val="24"/>
          <w:shd w:val="clear" w:color="auto" w:fill="FFFFFF"/>
        </w:rPr>
        <w:t>发生时，视具体情节和危害程度给予纪律处分。构成犯罪的，依法追究刑事责任。并建立完善的问</w:t>
      </w:r>
      <w:proofErr w:type="gramStart"/>
      <w:r>
        <w:rPr>
          <w:rStyle w:val="a5"/>
          <w:rFonts w:cs="宋体" w:hint="eastAsia"/>
          <w:bCs w:val="0"/>
          <w:color w:val="000000" w:themeColor="text1"/>
          <w:szCs w:val="24"/>
          <w:shd w:val="clear" w:color="auto" w:fill="FFFFFF"/>
        </w:rPr>
        <w:t>责处理</w:t>
      </w:r>
      <w:proofErr w:type="gramEnd"/>
      <w:r>
        <w:rPr>
          <w:rStyle w:val="a5"/>
          <w:rFonts w:cs="宋体" w:hint="eastAsia"/>
          <w:bCs w:val="0"/>
          <w:color w:val="000000" w:themeColor="text1"/>
          <w:szCs w:val="24"/>
          <w:shd w:val="clear" w:color="auto" w:fill="FFFFFF"/>
        </w:rPr>
        <w:t>机制。</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3.加大学院职务犯罪的惩罚力度和准确度，加强学院财务部门监督及信息公开。全面预防、遏制职务犯罪，逐步建立健全法律制度，加强廉政文化建设，提升校内监督水平。</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（七）涉外风险</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1.加强制度建设。学院应当将保密工作与国际交流合作工作相结合，细化本单位的涉外保密管理制度，建立一套保密工作责任体系，从“学院职能部门——二级院系——个人”，明确各类保密事项的归口管理责任人，签署保密责任书或承诺书。如发生泄密事件，相关责任人应当及时上报，积极补救并配合有关部门查处。</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2.加强国（境）</w:t>
      </w:r>
      <w:proofErr w:type="gramStart"/>
      <w:r>
        <w:rPr>
          <w:rStyle w:val="a5"/>
          <w:rFonts w:cs="宋体" w:hint="eastAsia"/>
          <w:bCs w:val="0"/>
          <w:color w:val="000000" w:themeColor="text1"/>
          <w:szCs w:val="24"/>
          <w:shd w:val="clear" w:color="auto" w:fill="FFFFFF"/>
        </w:rPr>
        <w:t>外人才</w:t>
      </w:r>
      <w:proofErr w:type="gramEnd"/>
      <w:r>
        <w:rPr>
          <w:rStyle w:val="a5"/>
          <w:rFonts w:cs="宋体" w:hint="eastAsia"/>
          <w:bCs w:val="0"/>
          <w:color w:val="000000" w:themeColor="text1"/>
          <w:szCs w:val="24"/>
          <w:shd w:val="clear" w:color="auto" w:fill="FFFFFF"/>
        </w:rPr>
        <w:t>引进保密管理，加强国际合作项目保密管理。注意把涉密关键技术和核心领域的项目纳入涉密项目管理体系进行规范，遵循安全至上的原则，加强对参与涉密项目的境外人员及设备的管理。</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3.增强保密意识。开展形式多样的保密宣传教育工作。除开展常规的保密宣传教育外，可采取专题讲座、专家授课等形式，针对因公出国（境）、人才引进、涉外项目开展等场景设计培训课程，加强保密教育。明确保密范围，知晓保密手段，知晓惩罚措施和问责制度，强化保密责任。</w:t>
      </w:r>
    </w:p>
    <w:p w:rsidR="00E200DF" w:rsidRDefault="00E200DF" w:rsidP="00E200DF">
      <w:pPr>
        <w:pStyle w:val="a4"/>
        <w:shd w:val="clear" w:color="auto" w:fill="FFFFFF"/>
        <w:spacing w:before="0" w:beforeAutospacing="0" w:after="0" w:afterAutospacing="0" w:line="440" w:lineRule="exact"/>
        <w:ind w:firstLineChars="200" w:firstLine="480"/>
        <w:rPr>
          <w:rStyle w:val="a5"/>
          <w:rFonts w:cs="宋体"/>
          <w:bCs w:val="0"/>
          <w:color w:val="000000" w:themeColor="text1"/>
          <w:szCs w:val="24"/>
          <w:shd w:val="clear" w:color="auto" w:fill="FFFFFF"/>
        </w:rPr>
      </w:pPr>
      <w:r>
        <w:rPr>
          <w:rStyle w:val="a5"/>
          <w:rFonts w:cs="宋体" w:hint="eastAsia"/>
          <w:b w:val="0"/>
          <w:color w:val="000000" w:themeColor="text1"/>
          <w:szCs w:val="24"/>
          <w:shd w:val="clear" w:color="auto" w:fill="FFFFFF"/>
        </w:rPr>
        <w:t>三、附则</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（一）本清单所涉及的风险点由对应的各职能部门具体落实。</w:t>
      </w:r>
    </w:p>
    <w:p w:rsidR="00E200DF" w:rsidRDefault="00E200DF" w:rsidP="00E200DF">
      <w:pPr>
        <w:pStyle w:val="a4"/>
        <w:shd w:val="clear" w:color="auto" w:fill="FFFFFF"/>
        <w:spacing w:before="0" w:beforeAutospacing="0" w:after="0" w:afterAutospacing="0" w:line="440" w:lineRule="exact"/>
        <w:ind w:firstLineChars="200" w:firstLine="482"/>
        <w:rPr>
          <w:rStyle w:val="a5"/>
          <w:rFonts w:cs="宋体"/>
          <w:b w:val="0"/>
          <w:color w:val="000000" w:themeColor="text1"/>
          <w:szCs w:val="24"/>
          <w:shd w:val="clear" w:color="auto" w:fill="FFFFFF"/>
        </w:rPr>
      </w:pPr>
      <w:r>
        <w:rPr>
          <w:rStyle w:val="a5"/>
          <w:rFonts w:cs="宋体" w:hint="eastAsia"/>
          <w:bCs w:val="0"/>
          <w:color w:val="000000" w:themeColor="text1"/>
          <w:szCs w:val="24"/>
          <w:shd w:val="clear" w:color="auto" w:fill="FFFFFF"/>
        </w:rPr>
        <w:t>（二）本清单所涉及的风险点及处置办法将根据学院办学</w:t>
      </w:r>
      <w:proofErr w:type="gramStart"/>
      <w:r>
        <w:rPr>
          <w:rStyle w:val="a5"/>
          <w:rFonts w:cs="宋体" w:hint="eastAsia"/>
          <w:bCs w:val="0"/>
          <w:color w:val="000000" w:themeColor="text1"/>
          <w:szCs w:val="24"/>
          <w:shd w:val="clear" w:color="auto" w:fill="FFFFFF"/>
        </w:rPr>
        <w:t>实际经</w:t>
      </w:r>
      <w:proofErr w:type="gramEnd"/>
      <w:r>
        <w:rPr>
          <w:rStyle w:val="a5"/>
          <w:rFonts w:cs="宋体" w:hint="eastAsia"/>
          <w:bCs w:val="0"/>
          <w:color w:val="000000" w:themeColor="text1"/>
          <w:szCs w:val="24"/>
          <w:shd w:val="clear" w:color="auto" w:fill="FFFFFF"/>
        </w:rPr>
        <w:t>校级会议研究会后调整。</w:t>
      </w:r>
    </w:p>
    <w:p w:rsidR="00E200DF" w:rsidRDefault="00E200DF" w:rsidP="00E200DF">
      <w:pPr>
        <w:pStyle w:val="2"/>
        <w:sectPr w:rsidR="00E200DF">
          <w:pgSz w:w="11905" w:h="16838"/>
          <w:pgMar w:top="1440" w:right="1417" w:bottom="1440" w:left="1417" w:header="850" w:footer="992" w:gutter="0"/>
          <w:pgNumType w:fmt="numberInDash"/>
          <w:cols w:space="0"/>
          <w:docGrid w:type="linesAndChars" w:linePitch="317"/>
        </w:sectPr>
      </w:pPr>
    </w:p>
    <w:p w:rsidR="00660164" w:rsidRPr="00E200DF" w:rsidRDefault="00660164"/>
    <w:sectPr w:rsidR="00660164" w:rsidRPr="00E200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0DD" w:rsidRDefault="00CE20DD" w:rsidP="00E200DF">
      <w:r>
        <w:separator/>
      </w:r>
    </w:p>
  </w:endnote>
  <w:endnote w:type="continuationSeparator" w:id="0">
    <w:p w:rsidR="00CE20DD" w:rsidRDefault="00CE20DD" w:rsidP="00E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0DD" w:rsidRDefault="00CE20DD" w:rsidP="00E200DF">
      <w:r>
        <w:separator/>
      </w:r>
    </w:p>
  </w:footnote>
  <w:footnote w:type="continuationSeparator" w:id="0">
    <w:p w:rsidR="00CE20DD" w:rsidRDefault="00CE20DD" w:rsidP="00E20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816EC7"/>
    <w:multiLevelType w:val="multilevel"/>
    <w:tmpl w:val="A3816EC7"/>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1">
    <w:nsid w:val="ABAA6B73"/>
    <w:multiLevelType w:val="multilevel"/>
    <w:tmpl w:val="ABAA6B73"/>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2">
    <w:nsid w:val="C4596D91"/>
    <w:multiLevelType w:val="multilevel"/>
    <w:tmpl w:val="C4596D91"/>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3">
    <w:nsid w:val="DE4E575D"/>
    <w:multiLevelType w:val="multilevel"/>
    <w:tmpl w:val="DE4E575D"/>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4">
    <w:nsid w:val="058C2352"/>
    <w:multiLevelType w:val="multilevel"/>
    <w:tmpl w:val="058C2352"/>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5">
    <w:nsid w:val="408DB05F"/>
    <w:multiLevelType w:val="multilevel"/>
    <w:tmpl w:val="408DB05F"/>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6">
    <w:nsid w:val="663E5F0E"/>
    <w:multiLevelType w:val="multilevel"/>
    <w:tmpl w:val="663E5F0E"/>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DF"/>
    <w:rsid w:val="00660164"/>
    <w:rsid w:val="00CE20DD"/>
    <w:rsid w:val="00E20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B56E9-B863-4657-9210-18521256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autoRedefine/>
    <w:qFormat/>
    <w:rsid w:val="00E200DF"/>
    <w:pPr>
      <w:keepNext/>
      <w:keepLines/>
      <w:spacing w:before="260" w:after="260" w:line="413" w:lineRule="auto"/>
      <w:outlineLvl w:val="1"/>
    </w:pPr>
    <w:rPr>
      <w:rFonts w:ascii="Arial" w:eastAsia="黑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E200DF"/>
    <w:rPr>
      <w:rFonts w:ascii="Arial" w:eastAsia="黑体" w:hAnsi="Arial" w:cs="Times New Roman"/>
      <w:b/>
      <w:sz w:val="32"/>
      <w:szCs w:val="24"/>
    </w:rPr>
  </w:style>
  <w:style w:type="paragraph" w:styleId="a3">
    <w:name w:val="header"/>
    <w:basedOn w:val="a"/>
    <w:link w:val="Char"/>
    <w:qFormat/>
    <w:rsid w:val="00E200DF"/>
    <w:pPr>
      <w:widowControl/>
      <w:tabs>
        <w:tab w:val="center" w:pos="4153"/>
        <w:tab w:val="right" w:pos="8306"/>
      </w:tabs>
      <w:snapToGrid w:val="0"/>
    </w:pPr>
    <w:rPr>
      <w:rFonts w:ascii="Times New Roman" w:eastAsia="宋体" w:hAnsi="Times New Roman" w:cs="Times New Roman"/>
      <w:sz w:val="18"/>
      <w:szCs w:val="18"/>
    </w:rPr>
  </w:style>
  <w:style w:type="character" w:customStyle="1" w:styleId="Char">
    <w:name w:val="页眉 Char"/>
    <w:basedOn w:val="a0"/>
    <w:link w:val="a3"/>
    <w:rsid w:val="00E200DF"/>
    <w:rPr>
      <w:rFonts w:ascii="Times New Roman" w:eastAsia="宋体" w:hAnsi="Times New Roman" w:cs="Times New Roman"/>
      <w:sz w:val="18"/>
      <w:szCs w:val="18"/>
    </w:rPr>
  </w:style>
  <w:style w:type="paragraph" w:styleId="a4">
    <w:name w:val="Normal (Web)"/>
    <w:basedOn w:val="a"/>
    <w:qFormat/>
    <w:rsid w:val="00E200DF"/>
    <w:pPr>
      <w:widowControl/>
      <w:spacing w:before="100" w:beforeAutospacing="1" w:after="100" w:afterAutospacing="1"/>
      <w:jc w:val="left"/>
    </w:pPr>
    <w:rPr>
      <w:rFonts w:ascii="宋体" w:eastAsia="宋体" w:hAnsi="宋体" w:cs="Times New Roman"/>
      <w:kern w:val="0"/>
      <w:sz w:val="24"/>
      <w:szCs w:val="20"/>
    </w:rPr>
  </w:style>
  <w:style w:type="character" w:styleId="a5">
    <w:name w:val="Strong"/>
    <w:basedOn w:val="a0"/>
    <w:qFormat/>
    <w:rsid w:val="00E200DF"/>
    <w:rPr>
      <w:b/>
      <w:bCs/>
    </w:rPr>
  </w:style>
  <w:style w:type="paragraph" w:styleId="a6">
    <w:name w:val="footer"/>
    <w:basedOn w:val="a"/>
    <w:link w:val="Char0"/>
    <w:uiPriority w:val="99"/>
    <w:unhideWhenUsed/>
    <w:rsid w:val="00E200DF"/>
    <w:pPr>
      <w:tabs>
        <w:tab w:val="center" w:pos="4153"/>
        <w:tab w:val="right" w:pos="8306"/>
      </w:tabs>
      <w:snapToGrid w:val="0"/>
      <w:jc w:val="left"/>
    </w:pPr>
    <w:rPr>
      <w:sz w:val="18"/>
      <w:szCs w:val="18"/>
    </w:rPr>
  </w:style>
  <w:style w:type="character" w:customStyle="1" w:styleId="Char0">
    <w:name w:val="页脚 Char"/>
    <w:basedOn w:val="a0"/>
    <w:link w:val="a6"/>
    <w:uiPriority w:val="99"/>
    <w:rsid w:val="00E200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562</Words>
  <Characters>3206</Characters>
  <Application>Microsoft Office Word</Application>
  <DocSecurity>0</DocSecurity>
  <Lines>26</Lines>
  <Paragraphs>7</Paragraphs>
  <ScaleCrop>false</ScaleCrop>
  <Company>HP</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2024-06-17T07:25:00Z</dcterms:created>
  <dcterms:modified xsi:type="dcterms:W3CDTF">2024-06-17T07:26:00Z</dcterms:modified>
</cp:coreProperties>
</file>