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D5306D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中华人民共和国反洗钱法</w:t>
      </w:r>
    </w:p>
    <w:p w14:paraId="3DF6982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（2006年10月31日第十届全国人民代表大会常务委员会第二十四次会议通过　2024年11月8日第十四届全国人民代表大会常务委员会第十二次会议修订）</w:t>
      </w:r>
    </w:p>
    <w:p w14:paraId="28C4E21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BDAC9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反洗钱监督管理</w:t>
      </w:r>
    </w:p>
    <w:p w14:paraId="7E9F12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反洗钱义务</w:t>
      </w:r>
    </w:p>
    <w:p w14:paraId="38A27A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反洗钱调查</w:t>
      </w:r>
    </w:p>
    <w:p w14:paraId="43588F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反洗钱国际合作</w:t>
      </w:r>
    </w:p>
    <w:p w14:paraId="482F81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14:paraId="5F8F07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1E74103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1831EA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为了预防洗钱活动，遏制洗钱以及相关犯罪，加强和规范反洗钱工作，维护金融秩序、社会公共利益和国家安全，根据宪法，制定本法。</w:t>
      </w:r>
    </w:p>
    <w:p w14:paraId="0AF5E3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反洗钱，是指为了预防通过各种方式掩饰、隐瞒毒品犯罪、黑社会性质的组织犯罪、恐怖活动犯罪、走私犯罪、贪污贿赂犯罪、破坏金融管理秩序犯罪、金融诈骗犯罪和其他犯罪所得及其收益的来源、性质的洗钱活动，依照本法规定采取相关措施的行为。</w:t>
      </w:r>
    </w:p>
    <w:p w14:paraId="1AE4A54D">
      <w:pPr>
        <w:ind w:firstLine="632" w:firstLineChars="200"/>
        <w:rPr>
          <w:rFonts w:ascii="Times New Roman" w:hAnsi="Times New Roman" w:cs="仿宋_GB2312"/>
          <w:sz w:val="32"/>
          <w:szCs w:val="32"/>
        </w:rPr>
      </w:pPr>
      <w:r>
        <w:rPr>
          <w:rFonts w:hint="eastAsia" w:ascii="Times New Roman" w:hAnsi="Times New Roman" w:cs="仿宋_GB2312"/>
          <w:sz w:val="32"/>
          <w:szCs w:val="32"/>
        </w:rPr>
        <w:t>预防恐怖主义融资活动适用本法；其他法律另有规定的，适用其规定。</w:t>
      </w:r>
    </w:p>
    <w:p w14:paraId="21575C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反洗钱工作应当贯彻落实党和国家路线方针政策、决策部署，坚持总体国家安全观，完善监督管理体制机制，健全风险防控体系。</w:t>
      </w:r>
    </w:p>
    <w:p w14:paraId="49EFD8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反洗钱工作应当依法进行，确保反洗钱措施与洗钱风险相适应，保障正常金融服务和资金流转顺利进行，维护单位和个人的合法权益。</w:t>
      </w:r>
    </w:p>
    <w:p w14:paraId="7C0372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国务院反洗钱行政主管部门负责全国的反洗钱监督管理工作。国务院有关部门在各自的职责范围内履行反洗钱监督管理职责。</w:t>
      </w:r>
    </w:p>
    <w:p w14:paraId="679E241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国务院反洗钱行政主管部门、国务院有关部门、监察机关和司法机关在反洗钱工作中应当相互配合。</w:t>
      </w:r>
    </w:p>
    <w:p w14:paraId="5329C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在中华人民共和国境内（以下简称境内）设立的金融机构和依照本法规定应当履行反洗钱义务的特定非金融机构，应当依法采取预防、监控措施，建立健全反洗钱内部控制制度，履行客户尽职调查、客户身份资料和交易记录保存、大额交易和可疑交易报告、反洗钱特别预防措施等反洗钱义务。</w:t>
      </w:r>
    </w:p>
    <w:p w14:paraId="7B4295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对依法履行反洗钱职责或者义务获得的客户身份资料和交易信息、反洗钱调查信息等反洗钱信息，应当予以保密；非依法律规定，不得向任何单位和个人提供。</w:t>
      </w:r>
    </w:p>
    <w:p w14:paraId="22BBF6C8">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反洗钱行政主管部门和其他依法负有反洗钱监督管理职责的部门履行反洗钱职责获得的客户身份资料和交易信息，只能用于反洗钱监督管理和行政调查工作。</w:t>
      </w:r>
    </w:p>
    <w:p w14:paraId="798ED076">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司法机关依照本法获得的客户身份资料和交易信息，只能用于反洗钱相关刑事诉讼。</w:t>
      </w:r>
    </w:p>
    <w:p w14:paraId="5925C41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国家有关机关使用反洗钱信息应当依法保护国家秘密、商业秘密和个人隐私、个人信息。</w:t>
      </w:r>
    </w:p>
    <w:p w14:paraId="75E74A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履行反洗钱义务的机构及其工作人员依法开展提交大额交易和可疑交易报告等工作，受法律保护。</w:t>
      </w:r>
    </w:p>
    <w:p w14:paraId="6459F4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反洗钱行政主管部门会同国家有关机关通过多种形式开展反洗钱宣传教育活动，向社会公众宣传洗钱活动的违法性、危害性及其表现形式等，增强社会公众对洗钱活动的防范意识和识别能力。</w:t>
      </w:r>
    </w:p>
    <w:p w14:paraId="36D4EC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任何单位和个人不得从事洗钱活动或者为洗钱活动提供便利，并应当配合金融机构和特定非金融机构依法开展的客户尽职调查。</w:t>
      </w:r>
    </w:p>
    <w:p w14:paraId="05CDD7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任何单位和个人发现洗钱活动，有权向反洗钱行政主管部门、公安机关或者其他有关国家机关举报。接受举报的机关应当对举报人和举报内容保密。</w:t>
      </w:r>
    </w:p>
    <w:p w14:paraId="255D41FC">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对在反洗钱工作中做出突出贡献的单位和个人，按照国家有关规定给予表彰和奖励。</w:t>
      </w:r>
    </w:p>
    <w:p w14:paraId="67697E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在中华人民共和国境外（以下简称境外）的洗钱和恐怖主义融资活动，危害中华人民共和国主权和安全，侵犯中华人民共和国公民、法人和其他组织合法权益，或者扰乱境内金融秩序的，依照本法以及相关法律规定处理并追究法律责任。</w:t>
      </w:r>
    </w:p>
    <w:p w14:paraId="3D7AA5FB">
      <w:pPr>
        <w:rPr>
          <w:rFonts w:ascii="Times New Roman" w:hAnsi="Times New Roman" w:eastAsia="宋体" w:cs="宋体"/>
          <w:szCs w:val="32"/>
        </w:rPr>
      </w:pPr>
    </w:p>
    <w:p w14:paraId="46C3AFD7">
      <w:pPr>
        <w:jc w:val="center"/>
        <w:rPr>
          <w:rFonts w:ascii="Times New Roman" w:hAnsi="Times New Roman" w:eastAsia="黑体" w:cs="黑体"/>
          <w:szCs w:val="32"/>
        </w:rPr>
      </w:pPr>
      <w:r>
        <w:rPr>
          <w:rFonts w:hint="eastAsia" w:ascii="Times New Roman" w:hAnsi="Times New Roman" w:eastAsia="黑体" w:cs="黑体"/>
          <w:szCs w:val="32"/>
        </w:rPr>
        <w:t>第二章　反洗钱监督管理</w:t>
      </w:r>
    </w:p>
    <w:p w14:paraId="7C9B0E30">
      <w:pPr>
        <w:rPr>
          <w:rFonts w:ascii="Times New Roman" w:hAnsi="Times New Roman" w:eastAsia="宋体" w:cs="宋体"/>
          <w:szCs w:val="32"/>
        </w:rPr>
      </w:pPr>
    </w:p>
    <w:p w14:paraId="511C31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务院反洗钱行政主管部门组织、协调全国的反洗钱工作，负责反洗钱的资金监测，制定或者会同国务院有关金融管理部门制定金融机构反洗钱管理规定，监督检查金融机构履行反洗钱义务的情况，在职责范围内调查可疑交易活动，履行法律和国务院规定的有关反洗钱的其他职责。</w:t>
      </w:r>
    </w:p>
    <w:p w14:paraId="008E6A1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国务院反洗钱行政主管部门的派出机构在国务院反洗钱行政主管部门的授权范围内，对金融机构履行反洗钱义务的情况进行监督检查。</w:t>
      </w:r>
    </w:p>
    <w:p w14:paraId="4657AE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国务院有关金融管理部门参与制定所监督管理的金融机构反洗钱管理规定，履行法律和国务院规定的有关反洗钱的其他职责。</w:t>
      </w:r>
    </w:p>
    <w:p w14:paraId="3E666E6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有关金融管理部门应当在金融机构市场准入中落实反洗钱审查要求，在监督管理工作中发现金融机构违反反洗钱规定的，应当将线索移送反洗钱行政主管部门，并配合其进行处理。</w:t>
      </w:r>
    </w:p>
    <w:p w14:paraId="289E4E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国务院有关特定非金融机构主管部门制定或者国务院反洗钱行政主管部门会同其制定特定非金融机构反洗钱管理规定。</w:t>
      </w:r>
    </w:p>
    <w:p w14:paraId="4761E2C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特定非金融机构主管部门监督检查特定非金融机构履行反洗钱义务的情况，处理反洗钱行政主管部门提出的反洗钱监督管理建议，履行法律和国务院规定的有关反洗钱的其他职责。有关特定非金融机构主管部门根据需要，可以请求反洗钱行政主管部门协助其监督检查。</w:t>
      </w:r>
    </w:p>
    <w:p w14:paraId="7A1AC3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务院反洗钱行政主管部门设立反洗钱监测分析机构。反洗钱监测分析机构开展反洗钱资金监测，负责接收、分析大额交易和可疑交易报告，移送分析结果，并按照规定向国务院反洗钱行政主管部门报告工作情况，履行国务院反洗钱行政主管部门规定的其他职责。</w:t>
      </w:r>
    </w:p>
    <w:p w14:paraId="2C53C87C">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反洗钱监测分析机构根据依法履行职责的需要，可以要求履行反洗钱义务的机构提供与大额交易和可疑交易相关的补充信息。</w:t>
      </w:r>
    </w:p>
    <w:p w14:paraId="39917D68">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反洗钱监测分析机构应当健全监测分析体系，根据洗钱风险状况有针对性地开展监测分析工作，按照规定向履行反洗钱义务的机构反馈可疑交易报告使用情况，不断提高监测分析水平。</w:t>
      </w:r>
    </w:p>
    <w:p w14:paraId="454F12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国务院反洗钱行政主管部门为履行反洗钱职责，可以从国家有关机关获取所必需的信息，国家有关机关应当依法提供。</w:t>
      </w:r>
    </w:p>
    <w:p w14:paraId="3E50DE7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国务院反洗钱行政主管部门应当向国家有关机关定期通报反洗钱工作情况，依法向履行与反洗钱相关的监督管理、行政调查、监察调查、刑事诉讼等职责的国家有关机关提供所必需的反洗钱信息。</w:t>
      </w:r>
    </w:p>
    <w:p w14:paraId="2C707D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出入境人员携带的现金、无记名支付凭证等超过规定金额的，应当按照规定向海关申报。海关发现个人出入境携带的现金、无记名支付凭证等超过规定金额的，应当及时向反洗钱行政主管部门通报。</w:t>
      </w:r>
    </w:p>
    <w:p w14:paraId="24A51BF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前款规定的申报范围、金额标准以及通报机制等，由国务院反洗钱行政主管部门、国务院外汇管理部门按照职责分工会同海关总署规定。</w:t>
      </w:r>
    </w:p>
    <w:p w14:paraId="0DE87F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国务院反洗钱行政主管部门会同国务院有关部门建立法人、非法人组织受益所有人信息管理制度。</w:t>
      </w:r>
    </w:p>
    <w:p w14:paraId="26E523D8">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法人、非法人组织应当保存并及时更新受益所有人信息，按照规定向登记机关如实提交并及时更新受益所有人信息。反洗钱行政主管部门、登记机关按照规定管理受益所有人信息。</w:t>
      </w:r>
    </w:p>
    <w:p w14:paraId="315AC1E8">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行政主管部门、国家有关机关为履行职责需要，可以依法使用受益所有人信息。金融机构和特定非金融机构在履行反洗钱义务时依法查询核对受益所有人信息；发现受益所有人信息错误、不一致或者不完整的，应当按照规定进行反馈。使用受益所有人信息应当依法保护信息安全。</w:t>
      </w:r>
    </w:p>
    <w:p w14:paraId="02B1352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本法所称法人、非法人组织的受益所有人，是指最终拥有或者实际控制法人、非法人组织，或者享有法人、非法人组织最终收益的自然人。具体认定标准由国务院反洗钱行政主管部门会同国务院有关部门制定。</w:t>
      </w:r>
    </w:p>
    <w:p w14:paraId="3A395A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反洗钱行政主管部门和其他依法负有反洗钱监督管理职责的部门发现涉嫌洗钱以及相关违法犯罪的交易活动，应当将线索和相关证据材料移送有管辖权的机关处理。接受移送的机关应当按照有关规定反馈处理结果。</w:t>
      </w:r>
    </w:p>
    <w:p w14:paraId="00ED48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反洗钱行政主管部门为依法履行监督管理职责，可以要求金融机构报送履行反洗钱义务情况，对金融机构实施风险监测、评估，并就金融机构执行本法以及相关管理规定的情况进行评价。必要时可以按照规定约谈金融机构的董事、监事、高级管理人员以及反洗钱工作直接负责人，要求其就有关事项说明情况；对金融机构履行反洗钱义务存在的问题进行提示。</w:t>
      </w:r>
    </w:p>
    <w:p w14:paraId="260675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反洗钱行政主管部门进行监督检查时，可以采取下列措施：</w:t>
      </w:r>
    </w:p>
    <w:p w14:paraId="33FF305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（一）进入金融机构进行检查；</w:t>
      </w:r>
    </w:p>
    <w:p w14:paraId="19DA93D7">
      <w:pPr>
        <w:ind w:firstLine="632" w:firstLineChars="200"/>
        <w:rPr>
          <w:rFonts w:ascii="Times New Roman" w:hAnsi="Times New Roman" w:cs="仿宋_GB2312"/>
          <w:sz w:val="32"/>
          <w:szCs w:val="32"/>
        </w:rPr>
      </w:pPr>
      <w:r>
        <w:rPr>
          <w:rFonts w:hint="eastAsia" w:ascii="Times New Roman" w:hAnsi="Times New Roman" w:cs="仿宋_GB2312"/>
          <w:sz w:val="32"/>
          <w:szCs w:val="32"/>
        </w:rPr>
        <w:t>（二）询问金融机构的工作人员，要求其对有关被检查事项作出说明；</w:t>
      </w:r>
    </w:p>
    <w:p w14:paraId="3B56F2CC">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（三）查阅、复制金融机构与被检查事项有关的文件、资料，对可能被转移、隐匿或者毁损的文件、资料予以封存；</w:t>
      </w:r>
    </w:p>
    <w:p w14:paraId="6683C8E5">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（四）检查金融机构的计算机网络与信息系统，调取、保存金融机构的计算机网络与信息系统中的有关数据、信息。</w:t>
      </w:r>
    </w:p>
    <w:p w14:paraId="42A95B07">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前款规定的监督检查，应当经国务院反洗钱行政主管部门或者其设区的市级以上派出机构负责人批准。检查人员不得少于二人，并应当出示执法证件和检查通知书；检查人员少于二人或者未出示执法证件和检查通知书的，金融机构有权拒绝接受检查。</w:t>
      </w:r>
    </w:p>
    <w:p w14:paraId="048943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务院反洗钱行政主管部门会同国家有关机关评估国家、行业面临的洗钱风险，发布洗钱风险指引，加强对履行反洗钱义务的机构指导，支持和鼓励反洗钱领域技术创新，及时监测与新领域、新业态相关的新型洗钱风险，根据洗钱风险状况优化资源配置，完善监督管理措施。</w:t>
      </w:r>
    </w:p>
    <w:p w14:paraId="7F1EAD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对存在严重洗钱风险的国家或者地区，国务院反洗钱行政主管部门可以在征求国家有关机关意见的基础上，经国务院批准，将其列为洗钱高风险国家或者地区，并采取相应措施。</w:t>
      </w:r>
    </w:p>
    <w:p w14:paraId="562CE1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履行反洗钱义务的机构可以依法成立反洗钱自律组织。反洗钱自律组织与相关行业自律组织协同开展反洗钱领域的自律管理。</w:t>
      </w:r>
    </w:p>
    <w:p w14:paraId="1D325230">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反洗钱自律组织接受国务院反洗钱行政主管部门的指导。</w:t>
      </w:r>
    </w:p>
    <w:p w14:paraId="45C3E6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提供反洗钱咨询、技术、专业能力评价等服务的机构及其工作人员，应当勤勉尽责、恪尽职守地提供服务；对于因提供服务获得的数据、信息，应当依法妥善处理，确保数据、信息安全。</w:t>
      </w:r>
    </w:p>
    <w:p w14:paraId="16FCC72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国务院反洗钱行政主管部门应当加强对上述机构开展反洗钱有关服务工作的指导。</w:t>
      </w:r>
    </w:p>
    <w:p w14:paraId="1145A440">
      <w:pPr>
        <w:rPr>
          <w:rFonts w:ascii="Times New Roman" w:hAnsi="Times New Roman" w:eastAsia="宋体" w:cs="宋体"/>
          <w:szCs w:val="32"/>
        </w:rPr>
      </w:pPr>
    </w:p>
    <w:p w14:paraId="790A4454">
      <w:pPr>
        <w:jc w:val="center"/>
        <w:rPr>
          <w:rFonts w:ascii="Times New Roman" w:hAnsi="Times New Roman" w:eastAsia="黑体" w:cs="黑体"/>
          <w:szCs w:val="32"/>
        </w:rPr>
      </w:pPr>
      <w:r>
        <w:rPr>
          <w:rFonts w:hint="eastAsia" w:ascii="Times New Roman" w:hAnsi="Times New Roman" w:eastAsia="黑体" w:cs="黑体"/>
          <w:szCs w:val="32"/>
        </w:rPr>
        <w:t>第三章　反洗钱义务</w:t>
      </w:r>
    </w:p>
    <w:p w14:paraId="187DE368">
      <w:pPr>
        <w:rPr>
          <w:rFonts w:ascii="Times New Roman" w:hAnsi="Times New Roman" w:eastAsia="宋体" w:cs="宋体"/>
          <w:szCs w:val="32"/>
        </w:rPr>
      </w:pPr>
    </w:p>
    <w:p w14:paraId="02A6D5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金融机构应当依照本法规定建立健全反洗钱内部控制制度，设立专门机构或者指定内设机构牵头负责反洗钱工作，根据经营规模和洗钱风险状况配备相应的人员，按照要求开展反洗钱培训和宣传。</w:t>
      </w:r>
    </w:p>
    <w:p w14:paraId="05AF94C0">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金融机构应当定期评估洗钱风险状况并制定相应的风险管理制度和流程，根据需要建立相关信息系统。</w:t>
      </w:r>
    </w:p>
    <w:p w14:paraId="190F278C">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金融机构应当通过内部审计或者社会审计等方式，监督反洗钱内部控制制度的有效实施。</w:t>
      </w:r>
    </w:p>
    <w:p w14:paraId="6F66E18F">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金融机构的负责人对反洗钱内部控制制度的有效实施负责。</w:t>
      </w:r>
    </w:p>
    <w:p w14:paraId="4AC482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金融机构应当按照规定建立客户尽职调查制度。</w:t>
      </w:r>
    </w:p>
    <w:p w14:paraId="760765E2">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金融机构不得为身份不明的客户提供服务或者与其进行交易，不得为客户开立匿名账户或者假名账户，不得为冒用他人身份的客户开立账户。</w:t>
      </w:r>
    </w:p>
    <w:p w14:paraId="61D185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有下列情形之一的，金融机构应当开展客户尽职调查：</w:t>
      </w:r>
    </w:p>
    <w:p w14:paraId="0628CFB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（一）与客户建立业务关系或者为客户提供规定金额以上的一次性金融服务；</w:t>
      </w:r>
    </w:p>
    <w:p w14:paraId="0C1C6FA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（二）有合理理由怀疑客户及其交易涉嫌洗钱活动；</w:t>
      </w:r>
    </w:p>
    <w:p w14:paraId="3BEC0A78">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（三）对先前获得的客户身份资料的真实性、有效性、完整性存在疑问。</w:t>
      </w:r>
    </w:p>
    <w:p w14:paraId="31193105">
      <w:pPr>
        <w:ind w:firstLine="632" w:firstLineChars="200"/>
        <w:rPr>
          <w:rFonts w:ascii="Times New Roman" w:hAnsi="Times New Roman" w:cs="仿宋_GB2312"/>
          <w:sz w:val="32"/>
          <w:szCs w:val="32"/>
        </w:rPr>
      </w:pPr>
      <w:r>
        <w:rPr>
          <w:rFonts w:hint="eastAsia" w:ascii="Times New Roman" w:hAnsi="Times New Roman" w:cs="仿宋_GB2312"/>
          <w:sz w:val="32"/>
          <w:szCs w:val="32"/>
        </w:rPr>
        <w:t>客户尽职调查包括识别并采取合理措施核实客户及其受益所有人身份，了解客户建立业务关系和交易的目的，涉及较高洗钱风险的，还应当了解相关资金来源和用途。</w:t>
      </w:r>
    </w:p>
    <w:p w14:paraId="30046F2A">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金融机构开展客户尽职调查，应当根据客户特征和交易活动的性质、风险状况进行，对于涉及较低洗钱风险的，金融机构应当根据情况简化客户尽职调查。</w:t>
      </w:r>
    </w:p>
    <w:p w14:paraId="6B4652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业务关系存续期间，金融机构应当持续关注并评估客户整体状况及交易情况，了解客户的洗钱风险。发现客户进行的交易与金融机构所掌握的客户身份、风险状况等不符的，应当进一步核实客户及其交易有关情况；对存在洗钱高风险情形的，必要时可以采取限制交易方式、金额或者频次，限制业务类型，拒绝办理业务，终止业务关系等洗钱风险管理措施。</w:t>
      </w:r>
    </w:p>
    <w:p w14:paraId="425395F6">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采取洗钱风险管理措施，应当在其业务权限范围内按照有关管理规定的要求和程序进行，平衡好管理洗钱风险与优化金融服务的关系，不得采取与洗钱风险状况明显不相匹配的措施，保障与客户依法享有的医疗、社会保障、公用事业服务等相关的基本的、必需的金融服务。</w:t>
      </w:r>
    </w:p>
    <w:p w14:paraId="7236DE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客户由他人代理办理业务的，金融机构应当按照规定核实代理关系，识别并核实代理人的身份。</w:t>
      </w:r>
    </w:p>
    <w:p w14:paraId="2BFC3292">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金融机构与客户订立人身保险、信托等合同，合同的受益人不是客户本人的，金融机构应当识别并核实受益人的身份。</w:t>
      </w:r>
    </w:p>
    <w:p w14:paraId="0C47A3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金融机构依托第三方开展客户尽职调查的，应当评估第三方的风险状况及其履行反洗钱义务的能力。第三方具有较高风险情形或者不具备履行反洗钱义务能力的，金融机构不得依托其开展客户尽职调查。</w:t>
      </w:r>
    </w:p>
    <w:p w14:paraId="3B30EBBA">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金融机构应当确保第三方已经采取符合本法要求的客户尽职调查措施。第三方未采取符合本法要求的客户尽职调查措施的，由该金融机构承担未履行客户尽职调查义务的法律责任。</w:t>
      </w:r>
    </w:p>
    <w:p w14:paraId="53B760A7">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第三方应当向金融机构提供必要的客户尽职调查信息，并配合金融机构持续开展客户尽职调查。</w:t>
      </w:r>
    </w:p>
    <w:p w14:paraId="012177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金融机构进行客户尽职调查，可以通过反洗钱行政主管部门以及公安、市场监督管理、民政、税务、移民管理、电信管理等部门依法核实客户身份等有关信息，相关部门应当依法予以支持。</w:t>
      </w:r>
    </w:p>
    <w:p w14:paraId="39D969D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国务院反洗钱行政主管部门应当协调推动相关部门为金融机构开展客户尽职调查提供必要的便利。</w:t>
      </w:r>
    </w:p>
    <w:p w14:paraId="06B07E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金融机构应当按照规定建立客户身份资料和交易记录保存制度。</w:t>
      </w:r>
    </w:p>
    <w:p w14:paraId="29DAE51E">
      <w:pPr>
        <w:ind w:firstLine="632" w:firstLineChars="200"/>
        <w:rPr>
          <w:rFonts w:ascii="Times New Roman" w:hAnsi="Times New Roman" w:cs="仿宋_GB2312"/>
          <w:sz w:val="32"/>
          <w:szCs w:val="32"/>
        </w:rPr>
      </w:pPr>
      <w:r>
        <w:rPr>
          <w:rFonts w:hint="eastAsia" w:ascii="Times New Roman" w:hAnsi="Times New Roman" w:cs="仿宋_GB2312"/>
          <w:sz w:val="32"/>
          <w:szCs w:val="32"/>
        </w:rPr>
        <w:t>在业务关系存续期间，客户身份信息发生变更的，应当及时更新。</w:t>
      </w:r>
    </w:p>
    <w:p w14:paraId="239EBE4A">
      <w:pPr>
        <w:ind w:firstLine="632" w:firstLineChars="200"/>
        <w:rPr>
          <w:rFonts w:ascii="Times New Roman" w:hAnsi="Times New Roman" w:cs="仿宋_GB2312"/>
          <w:sz w:val="32"/>
          <w:szCs w:val="32"/>
        </w:rPr>
      </w:pPr>
      <w:r>
        <w:rPr>
          <w:rFonts w:hint="eastAsia" w:ascii="Times New Roman" w:hAnsi="Times New Roman" w:cs="仿宋_GB2312"/>
          <w:sz w:val="32"/>
          <w:szCs w:val="32"/>
        </w:rPr>
        <w:t>客户身份资料在业务关系结束后、客户交易信息在交易结束后，应当至少保存十年。</w:t>
      </w:r>
    </w:p>
    <w:p w14:paraId="1A57DD61">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金融机构解散、被撤销或者被宣告破产时，应当将客户身份资料和客户交易信息移交国务院有关部门指定的机构。</w:t>
      </w:r>
    </w:p>
    <w:p w14:paraId="6B8C2A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金融机构应当按照规定执行大额交易报告制度，客户单笔交易或者在一定期限内的累计交易超过规定金额的，应当及时向反洗钱监测分析机构报告。</w:t>
      </w:r>
    </w:p>
    <w:p w14:paraId="5CFD4E42">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金融机构应当按照规定执行可疑交易报告制度，制定并不断优化监测标准，有效识别、分析可疑交易活动，及时向反洗钱监测分析机构提交可疑交易报告；提交可疑交易报告的情况应当保密。</w:t>
      </w:r>
    </w:p>
    <w:p w14:paraId="104381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金融机构应当在反洗钱行政主管部门的指导下，关注、评估运用新技术、新产品、新业务等带来的洗钱风险，根据情形采取相应措施，降低洗钱风险。</w:t>
      </w:r>
    </w:p>
    <w:p w14:paraId="5A6E96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在境内外设有分支机构或者控股其他金融机构的金融机构，以及金融控股公司，应当在总部或者集团层面统筹安排反洗钱工作。为履行反洗钱义务在公司内部、集团成员之间共享必要的反洗钱信息的，应当明确信息共享机制和程序。共享反洗钱信息，应当符合有关信息保护的法律规定，并确保相关信息不被用于反洗钱和反恐怖主义融资以外的用途。</w:t>
      </w:r>
    </w:p>
    <w:p w14:paraId="1A3A86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与金融机构存在业务关系的单位和个人应当配合金融机构的客户尽职调查，提供真实有效的身份证件或者其他身份证明文件，准确、完整填报身份信息，如实提供与交易和资金相关的资料。</w:t>
      </w:r>
    </w:p>
    <w:p w14:paraId="6B3D9E6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单位和个人拒不配合金融机构依照本法采取的合理的客户尽职调查措施的，金融机构按照规定的程序，可以采取限制或者拒绝办理业务、终止业务关系等洗钱风险管理措施，并根据情况提交可疑交易报告。</w:t>
      </w:r>
    </w:p>
    <w:p w14:paraId="7CEB44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单位和个人对金融机构采取洗钱风险管理措施有异议的，可以向金融机构提出。金融机构应当在十五日内进行处理，并将结果答复当事人；涉及客户基本的、必需的金融服务的，应当及时处理并答复当事人。相关单位和个人逾期未收到答复，或者对处理结果不满意的，可以向反洗钱行政主管部门投诉。</w:t>
      </w:r>
    </w:p>
    <w:p w14:paraId="2884D53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前款规定的单位和个人对金融机构采取洗钱风险管理措施有异议的，也可以依法直接向人民法院提起诉讼。</w:t>
      </w:r>
    </w:p>
    <w:p w14:paraId="1FB937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任何单位和个人应当按照国家有关机关要求对下列名单所列对象采取反洗钱特别预防措施：</w:t>
      </w:r>
    </w:p>
    <w:p w14:paraId="2F47D074">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（一）国家反恐怖主义工作领导机构认定并由其办事机构公告的恐怖活动组织和人员名单；</w:t>
      </w:r>
    </w:p>
    <w:p w14:paraId="398E68AA">
      <w:pPr>
        <w:ind w:firstLine="632" w:firstLineChars="200"/>
        <w:rPr>
          <w:rFonts w:ascii="Times New Roman" w:hAnsi="Times New Roman" w:cs="仿宋_GB2312"/>
          <w:sz w:val="32"/>
          <w:szCs w:val="32"/>
        </w:rPr>
      </w:pPr>
      <w:r>
        <w:rPr>
          <w:rFonts w:hint="eastAsia" w:ascii="Times New Roman" w:hAnsi="Times New Roman" w:cs="仿宋_GB2312"/>
          <w:sz w:val="32"/>
          <w:szCs w:val="32"/>
        </w:rPr>
        <w:t>（二）外交部发布的执行联合国安理会决议通知中涉及定向金融制裁的组织和人员名单；</w:t>
      </w:r>
    </w:p>
    <w:p w14:paraId="3D7170B4">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（三）国务院反洗钱行政主管部门认定或者会同国家有关机关认定的，具有重大洗钱风险、不采取措施可能造成严重后果的组织和人员名单。</w:t>
      </w:r>
    </w:p>
    <w:p w14:paraId="74F3B902">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第一项规定的名单有异议的，当事人可以依照《中华人民共和国反恐怖主义法》的规定申请复核。对前款第二项规定的名单有异议的，当事人可以按照有关程序提出从名单中除去的申请。对前款第三项规定的名单有异议的，当事人可以向作出认定的部门申请行政复议；对行政复议决定不服的，可以依法提起行政诉讼。</w:t>
      </w:r>
    </w:p>
    <w:p w14:paraId="1C65C920">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反洗钱特别预防措施包括立即停止向名单所列对象及其代理人、受其指使的组织和人员、其直接或者间接控制的组织提供金融等服务或者资金、资产，立即限制相关资金、资产转移等。</w:t>
      </w:r>
    </w:p>
    <w:p w14:paraId="16B41D9B">
      <w:pPr>
        <w:ind w:firstLine="632" w:firstLineChars="200"/>
        <w:rPr>
          <w:rFonts w:ascii="Times New Roman" w:hAnsi="Times New Roman" w:cs="仿宋_GB2312"/>
          <w:sz w:val="32"/>
          <w:szCs w:val="32"/>
        </w:rPr>
      </w:pPr>
      <w:r>
        <w:rPr>
          <w:rFonts w:hint="eastAsia" w:ascii="Times New Roman" w:hAnsi="Times New Roman" w:cs="仿宋_GB2312"/>
          <w:sz w:val="32"/>
          <w:szCs w:val="32"/>
        </w:rPr>
        <w:t>第一款规定的名单所列对象可以按照规定向国家有关机关申请使用被限制的资金、资产用于单位和个人的基本开支及其他必需支付的费用。采取反洗钱特别预防措施应当保护善意第三人合法权益，善意第三人可以依法进行权利救济。</w:t>
      </w:r>
    </w:p>
    <w:p w14:paraId="580221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金融机构应当识别、评估相关风险并制定相应的制度，及时获取本法第四十条第一款规定的名单，对客户及其交易对象进行核查，采取相应措施，并向反洗钱行政主管部门报告。</w:t>
      </w:r>
    </w:p>
    <w:p w14:paraId="7D356E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特定非金融机构在从事规定的特定业务时，参照本章关于金融机构履行反洗钱义务的相关规定，根据行业特点、经营规模、洗钱风险状况履行反洗钱义务。</w:t>
      </w:r>
    </w:p>
    <w:p w14:paraId="20DADFF9">
      <w:pPr>
        <w:rPr>
          <w:rFonts w:ascii="Times New Roman" w:hAnsi="Times New Roman" w:eastAsia="宋体" w:cs="宋体"/>
          <w:szCs w:val="32"/>
        </w:rPr>
      </w:pPr>
    </w:p>
    <w:p w14:paraId="3ECB8802">
      <w:pPr>
        <w:jc w:val="center"/>
        <w:rPr>
          <w:rFonts w:ascii="Times New Roman" w:hAnsi="Times New Roman" w:eastAsia="黑体" w:cs="黑体"/>
          <w:szCs w:val="32"/>
        </w:rPr>
      </w:pPr>
      <w:r>
        <w:rPr>
          <w:rFonts w:hint="eastAsia" w:ascii="Times New Roman" w:hAnsi="Times New Roman" w:eastAsia="黑体" w:cs="黑体"/>
          <w:szCs w:val="32"/>
        </w:rPr>
        <w:t>第四章　反洗钱调查</w:t>
      </w:r>
    </w:p>
    <w:p w14:paraId="7361FF2F">
      <w:pPr>
        <w:rPr>
          <w:rFonts w:ascii="Times New Roman" w:hAnsi="Times New Roman" w:eastAsia="宋体" w:cs="宋体"/>
          <w:szCs w:val="32"/>
        </w:rPr>
      </w:pPr>
    </w:p>
    <w:p w14:paraId="1F9080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务院反洗钱行政主管部门或者其设区的市级以上派出机构发现涉嫌洗钱的可疑交易活动或者违反本法规定的其他行为，需要调查核实的，经国务院反洗钱行政主管部门或者其设区的市级以上派出机构负责人批准，可以向金融机构、特定非金融机构发出调查通知书，开展反洗钱调查。</w:t>
      </w:r>
    </w:p>
    <w:p w14:paraId="45603762">
      <w:pPr>
        <w:ind w:firstLine="632" w:firstLineChars="200"/>
        <w:rPr>
          <w:rFonts w:ascii="Times New Roman" w:hAnsi="Times New Roman" w:cs="仿宋_GB2312"/>
          <w:sz w:val="32"/>
          <w:szCs w:val="32"/>
        </w:rPr>
      </w:pPr>
      <w:r>
        <w:rPr>
          <w:rFonts w:hint="eastAsia" w:ascii="Times New Roman" w:hAnsi="Times New Roman" w:cs="仿宋_GB2312"/>
          <w:sz w:val="32"/>
          <w:szCs w:val="32"/>
        </w:rPr>
        <w:t>反洗钱行政主管部门开展反洗钱调查，涉及特定非金融机构的，必要时可以请求有关特定非金融机构主管部门予以协助。</w:t>
      </w:r>
    </w:p>
    <w:p w14:paraId="668C19A7">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金融机构、特定非金融机构应当配合反洗钱调查，在规定时限内如实提供有关文件、资料。</w:t>
      </w:r>
    </w:p>
    <w:p w14:paraId="4763449C">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开展反洗钱调查，调查人员不得少于二人，并应当出示执法证件和调查通知书；调查人员少于二人或者未出示执法证件和调查通知书的，金融机构、特定非金融机构有权拒绝接受调查。</w:t>
      </w:r>
    </w:p>
    <w:p w14:paraId="41F6BE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国务院反洗钱行政主管部门或者其设区的市级以上派出机构开展反洗钱调查，可以采取下列措施：</w:t>
      </w:r>
    </w:p>
    <w:p w14:paraId="72C6A930">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（一）询问金融机构、特定非金融机构有关人员，要求其说明情况；</w:t>
      </w:r>
    </w:p>
    <w:p w14:paraId="291FCD27">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（二）查阅、复制被调查对象的账户信息、交易记录和其他有关资料；</w:t>
      </w:r>
    </w:p>
    <w:p w14:paraId="1ED97983">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（三）对可能被转移、隐匿、篡改或者毁损的文件、资料予以封存。</w:t>
      </w:r>
    </w:p>
    <w:p w14:paraId="6A2DA97D">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询问应当制作询问笔录。询问笔录应当交被询问人核对。记载有遗漏或者差错的，被询问人可以要求补充或者更正。被询问人确认笔录无误后，应当签名或者盖章；调查人员也应当在笔录上签名。</w:t>
      </w:r>
    </w:p>
    <w:p w14:paraId="02A7412D">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封存文件、资料，应当会同金融机构、特定非金融机构的工作人员查点清楚，当场开列清单一式二份，由调查人员和金融机构、特定非金融机构的工作人员签名或者盖章，一份交金融机构或者特定非金融机构，一份附卷备查。</w:t>
      </w:r>
    </w:p>
    <w:p w14:paraId="07B119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经调查仍不能排除洗钱嫌疑或者发现其他违法犯罪线索的，应当及时向有管辖权的机关移送。接受移送的机关应当按照有关规定反馈处理结果。</w:t>
      </w:r>
    </w:p>
    <w:p w14:paraId="7321DBF0">
      <w:pPr>
        <w:ind w:firstLine="632" w:firstLineChars="200"/>
        <w:rPr>
          <w:rFonts w:ascii="Times New Roman" w:hAnsi="Times New Roman" w:cs="仿宋_GB2312"/>
          <w:sz w:val="32"/>
          <w:szCs w:val="32"/>
        </w:rPr>
      </w:pPr>
      <w:r>
        <w:rPr>
          <w:rFonts w:hint="eastAsia" w:ascii="Times New Roman" w:hAnsi="Times New Roman" w:cs="仿宋_GB2312"/>
          <w:sz w:val="32"/>
          <w:szCs w:val="32"/>
        </w:rPr>
        <w:t>客户转移调查所涉及的账户资金的，国务院反洗钱行政主管部门认为必要时，经其负责人批准，可以采取临时冻结措施。</w:t>
      </w:r>
    </w:p>
    <w:p w14:paraId="594D32A3">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移送的机关接到线索后，对已依照前款规定临时冻结的资金，应当及时决定是否继续冻结。接受移送的机关认为需要继续冻结的，依照相关法律规定采取冻结措施；认为不需要继续冻结的，应当立即通知国务院反洗钱行政主管部门，国务院反洗钱行政主管部门应当立即通知金融机构解除冻结。</w:t>
      </w:r>
    </w:p>
    <w:p w14:paraId="416B146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临时冻结不得超过四十八小时。金融机构在按照国务院反洗钱行政主管部门的要求采取临时冻结措施后四十八小时内，未接到国家有关机关继续冻结通知的，应当立即解除冻结。</w:t>
      </w:r>
    </w:p>
    <w:p w14:paraId="17BCCFE7">
      <w:pPr>
        <w:rPr>
          <w:rFonts w:hint="eastAsia" w:ascii="Times New Roman" w:hAnsi="Times New Roman" w:eastAsia="宋体" w:cs="宋体"/>
          <w:szCs w:val="32"/>
        </w:rPr>
      </w:pPr>
    </w:p>
    <w:p w14:paraId="03E274F5">
      <w:pPr>
        <w:jc w:val="center"/>
        <w:rPr>
          <w:rFonts w:hint="eastAsia" w:ascii="Times New Roman" w:hAnsi="Times New Roman" w:eastAsia="黑体" w:cs="黑体"/>
          <w:szCs w:val="32"/>
        </w:rPr>
      </w:pPr>
      <w:r>
        <w:rPr>
          <w:rFonts w:hint="eastAsia" w:ascii="Times New Roman" w:hAnsi="Times New Roman" w:eastAsia="黑体" w:cs="黑体"/>
          <w:szCs w:val="32"/>
        </w:rPr>
        <w:t>第五章　反洗钱国</w:t>
      </w:r>
      <w:bookmarkStart w:id="0" w:name="_GoBack"/>
      <w:bookmarkEnd w:id="0"/>
      <w:r>
        <w:rPr>
          <w:rFonts w:hint="eastAsia" w:ascii="Times New Roman" w:hAnsi="Times New Roman" w:eastAsia="黑体" w:cs="黑体"/>
          <w:szCs w:val="32"/>
        </w:rPr>
        <w:t>际合作</w:t>
      </w:r>
    </w:p>
    <w:p w14:paraId="12E5087C">
      <w:pPr>
        <w:rPr>
          <w:rFonts w:hint="eastAsia" w:ascii="Times New Roman" w:hAnsi="Times New Roman" w:eastAsia="宋体" w:cs="宋体"/>
          <w:szCs w:val="32"/>
        </w:rPr>
      </w:pPr>
    </w:p>
    <w:p w14:paraId="5C6091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中华人民共和国根据缔结或者参加的国际条约，或者按照平等互惠原则，开展反洗钱国际合作。</w:t>
      </w:r>
    </w:p>
    <w:p w14:paraId="5C7193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国务院反洗钱行政主管部门根据国务院授权，负责组织、协调反洗钱国际合作，代表中国政府参与有关国际组织活动，依法与境外相关机构开展反洗钱合作，交换反洗钱信息。</w:t>
      </w:r>
    </w:p>
    <w:p w14:paraId="3EEFB10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国家有关机关依法在职责范围内开展反洗钱国际合作。</w:t>
      </w:r>
    </w:p>
    <w:p w14:paraId="0E0569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涉及追究洗钱犯罪的司法协助，依照《中华人民共和国国际刑事司法协助法》以及有关法律的规定办理。</w:t>
      </w:r>
    </w:p>
    <w:p w14:paraId="4810CC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国家有关机关在依法调查洗钱和恐怖主义融资活动过程中，按照对等原则或者经与有关国家协商一致，可以要求在境内开立代理行账户或者与我国存在其他密切金融联系的境外金融机构予以配合。</w:t>
      </w:r>
    </w:p>
    <w:p w14:paraId="0BD10A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外国国家、组织违反对等、协商一致原则直接要求境内金融机构提交客户身份资料、交易信息，扣押、冻结、划转境内资金、资产，或者作出其他行动的，金融机构不得擅自执行，并应当及时向国务院有关金融管理部门报告。</w:t>
      </w:r>
    </w:p>
    <w:p w14:paraId="106BBA05">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除前款规定外，外国国家、组织基于合规监管的需要，要求境内金融机构提供概要性合规信息、经营信息等信息的，境内金融机构向国务院有关金融管理部门和国家有关机关报告后可以提供或者予以配合。</w:t>
      </w:r>
    </w:p>
    <w:p w14:paraId="4B599491">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前两款规定的资料、信息涉及重要数据和个人信息的，还应当符合国家数据安全管理、个人信息保护有关规定。</w:t>
      </w:r>
    </w:p>
    <w:p w14:paraId="12F2CD9B">
      <w:pPr>
        <w:rPr>
          <w:rFonts w:ascii="Times New Roman" w:hAnsi="Times New Roman" w:eastAsia="宋体" w:cs="宋体"/>
          <w:szCs w:val="32"/>
        </w:rPr>
      </w:pPr>
    </w:p>
    <w:p w14:paraId="3CA5B7E9">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07271EA2">
      <w:pPr>
        <w:rPr>
          <w:rFonts w:ascii="Times New Roman" w:hAnsi="Times New Roman" w:eastAsia="宋体" w:cs="宋体"/>
          <w:szCs w:val="32"/>
        </w:rPr>
      </w:pPr>
    </w:p>
    <w:p w14:paraId="66AC53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反洗钱行政主管部门和其他依法负有反洗钱监督管理职责的部门从事反洗钱工作的人员有下列行为之一的，依法给予处分：</w:t>
      </w:r>
    </w:p>
    <w:p w14:paraId="59E575A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（一）违反规定进行检查、调查或者采取临时冻结措施；</w:t>
      </w:r>
    </w:p>
    <w:p w14:paraId="376B8BCC">
      <w:pPr>
        <w:ind w:firstLine="632" w:firstLineChars="200"/>
        <w:rPr>
          <w:rFonts w:ascii="Times New Roman" w:hAnsi="Times New Roman" w:cs="仿宋_GB2312"/>
          <w:sz w:val="32"/>
          <w:szCs w:val="32"/>
        </w:rPr>
      </w:pPr>
      <w:r>
        <w:rPr>
          <w:rFonts w:hint="eastAsia" w:ascii="Times New Roman" w:hAnsi="Times New Roman" w:cs="仿宋_GB2312"/>
          <w:sz w:val="32"/>
          <w:szCs w:val="32"/>
        </w:rPr>
        <w:t>（二）泄露因反洗钱知悉的国家秘密、商业秘密或者个人隐私、个人信息；</w:t>
      </w:r>
    </w:p>
    <w:p w14:paraId="1BB0F77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（三）违反规定对有关机构和人员实施行政处罚；</w:t>
      </w:r>
    </w:p>
    <w:p w14:paraId="0FA7D67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（四）其他不依法履行职责的行为。</w:t>
      </w:r>
    </w:p>
    <w:p w14:paraId="5E86211F">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其他国家机关工作人员有前款第二项行为的，依法给予处分。</w:t>
      </w:r>
    </w:p>
    <w:p w14:paraId="54DC49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金融机构有下列情形之一的，由国务院反洗钱行政主管部门或者其设区的市级以上派出机构责令限期改正；情节较重的，给予警告或者处二十万元以下罚款；情节严重或者逾期未改正的，处二十万元以上二百万元以下罚款，可以根据情形在职责范围内或者建议有关金融管理部门限制或者禁止其开展相关业务：</w:t>
      </w:r>
    </w:p>
    <w:p w14:paraId="7F0D040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（一）未按照规定制定、完善反洗钱内部控制制度规范；</w:t>
      </w:r>
    </w:p>
    <w:p w14:paraId="5B0A4027">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（二）未按照规定设立专门机构或者指定内设机构牵头负责反洗钱工作；</w:t>
      </w:r>
    </w:p>
    <w:p w14:paraId="1CDB9B4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（三）未按照规定根据经营规模和洗钱风险状况配备相应人员；</w:t>
      </w:r>
    </w:p>
    <w:p w14:paraId="49185F9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（四）未按照规定开展洗钱风险评估或者健全相应的风险管理制度；</w:t>
      </w:r>
    </w:p>
    <w:p w14:paraId="607FFCD0">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（五）未按照规定制定、完善可疑交易监测标准；</w:t>
      </w:r>
    </w:p>
    <w:p w14:paraId="7B3D086C">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（六）未按照规定开展反洗钱内部审计或者社会审计；</w:t>
      </w:r>
    </w:p>
    <w:p w14:paraId="1DE23996">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（七）未按照规定开展反洗钱培训；</w:t>
      </w:r>
    </w:p>
    <w:p w14:paraId="365A8A82">
      <w:pPr>
        <w:ind w:firstLine="632" w:firstLineChars="200"/>
        <w:rPr>
          <w:rFonts w:ascii="Times New Roman" w:hAnsi="Times New Roman" w:cs="仿宋_GB2312"/>
          <w:sz w:val="32"/>
          <w:szCs w:val="32"/>
        </w:rPr>
      </w:pPr>
      <w:r>
        <w:rPr>
          <w:rFonts w:hint="eastAsia" w:ascii="Times New Roman" w:hAnsi="Times New Roman" w:cs="仿宋_GB2312"/>
          <w:sz w:val="32"/>
          <w:szCs w:val="32"/>
        </w:rPr>
        <w:t>（八）应当建立反洗钱相关信息系统而未建立，或者未按照规定完善反洗钱相关信息系统；</w:t>
      </w:r>
    </w:p>
    <w:p w14:paraId="255821D6">
      <w:pPr>
        <w:ind w:firstLine="632" w:firstLineChars="200"/>
        <w:rPr>
          <w:rFonts w:ascii="Times New Roman" w:hAnsi="Times New Roman" w:cs="仿宋_GB2312"/>
          <w:sz w:val="32"/>
          <w:szCs w:val="32"/>
        </w:rPr>
      </w:pPr>
      <w:r>
        <w:rPr>
          <w:rFonts w:hint="eastAsia" w:ascii="Times New Roman" w:hAnsi="Times New Roman" w:cs="仿宋_GB2312"/>
          <w:sz w:val="32"/>
          <w:szCs w:val="32"/>
        </w:rPr>
        <w:t>（九）金融机构的负责人未能有效履行反洗钱职责。</w:t>
      </w:r>
    </w:p>
    <w:p w14:paraId="5DBD76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金融机构有下列行为之一的，由国务院反洗钱行政主管部门或者其设区的市级以上派出机构责令限期改正，可以给予警告或者处二十万元以下罚款；情节严重或者逾期未改正的，处二十万元以上二百万元以下罚款：</w:t>
      </w:r>
    </w:p>
    <w:p w14:paraId="6B69E91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（一）未按照规定开展客户尽职调查；</w:t>
      </w:r>
    </w:p>
    <w:p w14:paraId="28E76E7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（二）未按照规定保存客户身份资料和交易记录；</w:t>
      </w:r>
    </w:p>
    <w:p w14:paraId="5AC60CB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（三）未按照规定报告大额交易；</w:t>
      </w:r>
    </w:p>
    <w:p w14:paraId="1909733D">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（四）未按照规定报告可疑交易。</w:t>
      </w:r>
    </w:p>
    <w:p w14:paraId="471884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金融机构有下列行为之一的，由国务院反洗钱行政主管部门或者其设区的市级以上派出机构责令限期改正，处五十万元以下罚款；情节严重的，处五十万元以上五百万元以下罚款，可以根据情形在职责范围内或者建议有关金融管理部门限制或者禁止其开展相关业务：</w:t>
      </w:r>
    </w:p>
    <w:p w14:paraId="5DFBB40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（一）为身份不明的客户提供服务、与其进行交易，为客户开立匿名账户、假名账户，或者为冒用他人身份的客户开立账户；</w:t>
      </w:r>
    </w:p>
    <w:p w14:paraId="500BA5B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（二）未按照规定对洗钱高风险情形采取相应洗钱风险管理措施；</w:t>
      </w:r>
    </w:p>
    <w:p w14:paraId="53A12DE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（三）未按照规定采取反洗钱特别预防措施；</w:t>
      </w:r>
    </w:p>
    <w:p w14:paraId="69C2182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（四）违反保密规定，查询、泄露有关信息；</w:t>
      </w:r>
    </w:p>
    <w:p w14:paraId="39E9B029">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（五）拒绝、阻碍反洗钱监督管理、调查，或者故意提供虚假材料；</w:t>
      </w:r>
    </w:p>
    <w:p w14:paraId="670A6DCE">
      <w:pPr>
        <w:ind w:firstLine="632" w:firstLineChars="200"/>
        <w:rPr>
          <w:rFonts w:ascii="Times New Roman" w:hAnsi="Times New Roman" w:cs="仿宋_GB2312"/>
          <w:sz w:val="32"/>
          <w:szCs w:val="32"/>
        </w:rPr>
      </w:pPr>
      <w:r>
        <w:rPr>
          <w:rFonts w:hint="eastAsia" w:ascii="Times New Roman" w:hAnsi="Times New Roman" w:cs="仿宋_GB2312"/>
          <w:sz w:val="32"/>
          <w:szCs w:val="32"/>
        </w:rPr>
        <w:t>（六）篡改、伪造或者无正当理由删除客户身份资料、交易记录；</w:t>
      </w:r>
    </w:p>
    <w:p w14:paraId="5146C1E0">
      <w:pPr>
        <w:ind w:firstLine="632" w:firstLineChars="200"/>
        <w:rPr>
          <w:rFonts w:ascii="Times New Roman" w:hAnsi="Times New Roman" w:cs="仿宋_GB2312"/>
          <w:sz w:val="32"/>
          <w:szCs w:val="32"/>
        </w:rPr>
      </w:pPr>
      <w:r>
        <w:rPr>
          <w:rFonts w:hint="eastAsia" w:ascii="Times New Roman" w:hAnsi="Times New Roman" w:cs="仿宋_GB2312"/>
          <w:sz w:val="32"/>
          <w:szCs w:val="32"/>
        </w:rPr>
        <w:t>（七）自行或者协助客户以拆分交易等方式故意逃避履行反洗钱义务。</w:t>
      </w:r>
    </w:p>
    <w:p w14:paraId="1BD94E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金融机构有本法第五十三条、第五十四条规定的行为，致使犯罪所得及其收益通过本机构得以掩饰、隐瞒的，或者致使恐怖主义融资后果发生的，由国务院反洗钱行政主管部门或者其设区的市级以上派出机构责令限期改正，涉及金额不足一千万元的，处五十万元以上一千万元以下罚款；涉及金额一千万元以上的，处涉及金额百分之二十以上二倍以下罚款；情节严重的，可以根据情形在职责范围内实施或者建议有关金融管理部门实施限制、禁止其开展相关业务，或者责令停业整顿、吊销经营许可证等处罚。</w:t>
      </w:r>
    </w:p>
    <w:p w14:paraId="6D49F3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国务院反洗钱行政主管部门或者其设区的市级以上派出机构依照本法第五十二条至第五十四条规定对金融机构进行处罚的，还可以根据情形对负有责任的董事、监事、高级管理人员或者其他直接责任人员，给予警告或者处二十万元以下罚款；情节严重的，可以根据情形在职责范围内实施或者建议有关金融管理部门实施取消其任职资格、禁止其从事有关金融行业工作等处罚。</w:t>
      </w:r>
    </w:p>
    <w:p w14:paraId="37C27A8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反洗钱行政主管部门或者其设区的市级以上派出机构依照本法第五十五条规定对金融机构进行处罚的，还可以根据情形对负有责任的董事、监事、高级管理人员或者其他直接责任人员，处二十万元以上一百万元以下罚款；情节严重的，可以根据情形在职责范围内实施或者建议有关金融管理部门实施取消其任职资格、禁止其从事有关金融行业工作等处罚。</w:t>
      </w:r>
    </w:p>
    <w:p w14:paraId="7B6BBE2A">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前两款规定的金融机构董事、监事、高级管理人员或者其他直接责任人员能够证明自己已经勤勉尽责采取反洗钱措施的，可以不予处罚。</w:t>
      </w:r>
    </w:p>
    <w:p w14:paraId="30432C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金融机构违反本法第五十条规定擅自采取行动的，由国务院有关金融管理部门处五十万元以下罚款；情节严重的，处五十万元以上五百万元以下罚款；造成损失的，并处所造成直接经济损失一倍以上五倍以下罚款。对负有责任的董事、监事、高级管理人员或者其他直接责任人员，可以由国务院有关金融管理部门给予警告或者处五十万元以下罚款。</w:t>
      </w:r>
    </w:p>
    <w:p w14:paraId="2A632896">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金融机构违反本法第四十九条规定，对国家有关机关的调查不予配合的，由国务院反洗钱行政主管部门依照本法第五十四条、第五十六条规定进行处罚，并可以根据情形将其列入本法第四十条第一款第三项规定的名单。</w:t>
      </w:r>
    </w:p>
    <w:p w14:paraId="3711C7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特定非金融机构违反本法规定的，由有关特定非金融机构主管部门责令限期改正；情节较重的，给予警告或者处五万元以下罚款；情节严重或者逾期未改正的，处五万元以上五十万元以下罚款；对有关负责人，可以给予警告或者处五万元以下罚款。</w:t>
      </w:r>
    </w:p>
    <w:p w14:paraId="074FA1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金融机构、特定非金融机构以外的单位和个人未依照本法第四十条规定履行反洗钱特别预防措施义务的，由国务院反洗钱行政主管部门或者其设区的市级以上派出机构责令限期改正；情节严重的，对单位给予警告或者处二十万元以下罚款，对个人给予警告或者处五万元以下罚款。</w:t>
      </w:r>
    </w:p>
    <w:p w14:paraId="490185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法人、非法人组织未按照规定向登记机关提交受益所有人信息的，由登记机关责令限期改正；拒不改正的，处五万元以下罚款。向登记机关提交虚假或者不实的受益所有人信息，或者未按照规定及时更新受益所有人信息的，由国务院反洗钱行政主管部门或者其设区的市级以上派出机构责令限期改正；拒不改正的，处五万元以下罚款。</w:t>
      </w:r>
    </w:p>
    <w:p w14:paraId="68EF34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国务院反洗钱行政主管部门应当综合考虑金融机构的经营规模、内部控制制度执行情况、勤勉尽责程度、违法行为持续时间、危害程度以及整改情况等因素，制定本法相关行政处罚裁量基准。</w:t>
      </w:r>
    </w:p>
    <w:p w14:paraId="7BC5F0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违反本法规定，构成犯罪的，依法追究刑事责任。</w:t>
      </w:r>
    </w:p>
    <w:p w14:paraId="08F6B131">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利用金融机构、特定非金融机构实施或者通过非法渠道实施洗钱犯罪的，依法追究刑事责任。</w:t>
      </w:r>
    </w:p>
    <w:p w14:paraId="7D48A633">
      <w:pPr>
        <w:rPr>
          <w:rFonts w:ascii="Times New Roman" w:hAnsi="Times New Roman" w:eastAsia="宋体" w:cs="宋体"/>
          <w:szCs w:val="32"/>
        </w:rPr>
      </w:pPr>
    </w:p>
    <w:p w14:paraId="7B86DE2A">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19AD1C0A">
      <w:pPr>
        <w:rPr>
          <w:rFonts w:ascii="Times New Roman" w:hAnsi="Times New Roman" w:eastAsia="宋体" w:cs="宋体"/>
          <w:szCs w:val="32"/>
        </w:rPr>
      </w:pPr>
    </w:p>
    <w:p w14:paraId="64F85C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在境内设立的下列机构，履行本法规定的金融机构反洗钱义务：</w:t>
      </w:r>
    </w:p>
    <w:p w14:paraId="58A396F8">
      <w:pPr>
        <w:ind w:firstLine="632" w:firstLineChars="200"/>
        <w:rPr>
          <w:rFonts w:ascii="Times New Roman" w:hAnsi="Times New Roman" w:cs="仿宋_GB2312"/>
          <w:sz w:val="32"/>
          <w:szCs w:val="32"/>
        </w:rPr>
      </w:pPr>
      <w:r>
        <w:rPr>
          <w:rFonts w:hint="eastAsia" w:ascii="Times New Roman" w:hAnsi="Times New Roman" w:cs="仿宋_GB2312"/>
          <w:sz w:val="32"/>
          <w:szCs w:val="32"/>
        </w:rPr>
        <w:t>（一）银行业、证券基金期货业、保险业、信托业金融机构；</w:t>
      </w:r>
    </w:p>
    <w:p w14:paraId="07AE7578">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（二）非银行支付机构；</w:t>
      </w:r>
    </w:p>
    <w:p w14:paraId="00D7E68D">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（三）国务院反洗钱行政主管部门确定并公布的其他从事金融业务的机构。</w:t>
      </w:r>
    </w:p>
    <w:p w14:paraId="555454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在境内设立的下列机构，履行本法规定的特定非金融机构反洗钱义务：</w:t>
      </w:r>
    </w:p>
    <w:p w14:paraId="3F32A057">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（一）提供房屋销售、房屋买卖经纪服务的房地产开发企业或者房地产中介机构；</w:t>
      </w:r>
    </w:p>
    <w:p w14:paraId="48E8D96F">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（二）接受委托为客户办理买卖不动产，代管资金、证券或者其他资产，代管银行账户、证券账户，为成立、运营企业筹措资金以及代理买卖经营性实体业务的会计师事务所、律师事务所、公证机构；</w:t>
      </w:r>
    </w:p>
    <w:p w14:paraId="14E48351">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（三）从事规定金额以上贵金属、宝石现货交易的交易商；</w:t>
      </w:r>
    </w:p>
    <w:p w14:paraId="010436E7">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（四）国务院反洗钱行政主管部门会同国务院有关部门根据洗钱风险状况确定的其他需要履行反洗钱义务的机构。</w:t>
      </w:r>
    </w:p>
    <w:p w14:paraId="1AF243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D914D8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10928</Words>
  <Characters>10940</Characters>
  <Lines>87</Lines>
  <Paragraphs>24</Paragraphs>
  <TotalTime>5</TotalTime>
  <ScaleCrop>false</ScaleCrop>
  <LinksUpToDate>false</LinksUpToDate>
  <CharactersWithSpaces>11030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2024-12-16T02:01:57Z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ies>
</file>