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91D" w:rsidRDefault="004D091D" w:rsidP="001C58E7">
      <w:pPr>
        <w:ind w:firstLine="420"/>
        <w:jc w:val="center"/>
      </w:pPr>
      <w:bookmarkStart w:id="0" w:name="_Toc17830"/>
      <w:r>
        <w:rPr>
          <w:rFonts w:hint="eastAsia"/>
        </w:rPr>
        <w:t>汕头职业技术学院教学低值品、易耗品及材料管理办法</w:t>
      </w:r>
      <w:bookmarkEnd w:id="0"/>
    </w:p>
    <w:p w:rsidR="004D091D" w:rsidRDefault="004D091D" w:rsidP="001C58E7">
      <w:pPr>
        <w:ind w:firstLine="420"/>
        <w:jc w:val="center"/>
      </w:pPr>
      <w:r>
        <w:rPr>
          <w:rFonts w:hint="eastAsia"/>
        </w:rPr>
        <w:t>第一章</w:t>
      </w:r>
      <w:r>
        <w:t xml:space="preserve">  </w:t>
      </w:r>
      <w:r>
        <w:rPr>
          <w:rFonts w:hint="eastAsia"/>
        </w:rPr>
        <w:t>总</w:t>
      </w:r>
      <w:r>
        <w:t xml:space="preserve"> </w:t>
      </w:r>
      <w:r>
        <w:rPr>
          <w:rFonts w:hint="eastAsia"/>
        </w:rPr>
        <w:t>则</w:t>
      </w:r>
    </w:p>
    <w:p w:rsidR="004D091D" w:rsidRDefault="004D091D" w:rsidP="001C58E7">
      <w:pPr>
        <w:ind w:firstLine="422"/>
        <w:jc w:val="center"/>
      </w:pPr>
      <w:r>
        <w:rPr>
          <w:rFonts w:hint="eastAsia"/>
          <w:b/>
        </w:rPr>
        <w:t>第一条</w:t>
      </w:r>
      <w:r>
        <w:t xml:space="preserve">  </w:t>
      </w:r>
      <w:r>
        <w:rPr>
          <w:rFonts w:hint="eastAsia"/>
        </w:rPr>
        <w:t>为了更好地贯彻执行《高等学校材料、低值易耗品管理办法》，加强学院实验、实训室低值品、易耗品及材料的科学管理，防止积压浪费，保证教学、科研等方面工作的顺利进行，特制定本管理办法。</w:t>
      </w:r>
    </w:p>
    <w:p w:rsidR="004D091D" w:rsidRDefault="004D091D" w:rsidP="001C58E7">
      <w:pPr>
        <w:ind w:firstLine="422"/>
        <w:jc w:val="center"/>
      </w:pPr>
      <w:r>
        <w:rPr>
          <w:rFonts w:hint="eastAsia"/>
          <w:b/>
          <w:bCs/>
        </w:rPr>
        <w:t>第二条</w:t>
      </w:r>
      <w:r>
        <w:t xml:space="preserve">  </w:t>
      </w:r>
      <w:r>
        <w:rPr>
          <w:rFonts w:hint="eastAsia"/>
        </w:rPr>
        <w:t>根据“统一领导，归口管理，专人负责，合理调配，节约使用”的原则，学院对物品实行二级学院归口管理体制。</w:t>
      </w:r>
    </w:p>
    <w:p w:rsidR="004D091D" w:rsidRDefault="004D091D" w:rsidP="001C58E7">
      <w:pPr>
        <w:ind w:firstLine="420"/>
        <w:jc w:val="center"/>
      </w:pPr>
      <w:r>
        <w:rPr>
          <w:rFonts w:hint="eastAsia"/>
        </w:rPr>
        <w:t>技能实训中心负责全院低值品、易耗品及材料的专项经费管理，并负责对各二级学院的低值品、易耗品管理工作的指导监督、检查评估等项工作。</w:t>
      </w:r>
    </w:p>
    <w:p w:rsidR="004D091D" w:rsidRDefault="004D091D" w:rsidP="001C58E7">
      <w:pPr>
        <w:ind w:firstLine="420"/>
        <w:jc w:val="center"/>
      </w:pPr>
      <w:r>
        <w:rPr>
          <w:rFonts w:hint="eastAsia"/>
        </w:rPr>
        <w:t>各二级学院是低值品、易耗</w:t>
      </w:r>
      <w:proofErr w:type="gramStart"/>
      <w:r>
        <w:rPr>
          <w:rFonts w:hint="eastAsia"/>
        </w:rPr>
        <w:t>品具体</w:t>
      </w:r>
      <w:proofErr w:type="gramEnd"/>
      <w:r>
        <w:rPr>
          <w:rFonts w:hint="eastAsia"/>
        </w:rPr>
        <w:t>管理单位，实验实训室主任或主管实验实训室工作的领导负责对本单位低值品、易耗品及材料的账务管理及实物管理。</w:t>
      </w:r>
    </w:p>
    <w:p w:rsidR="004D091D" w:rsidRDefault="004D091D" w:rsidP="001C58E7">
      <w:pPr>
        <w:ind w:firstLine="422"/>
        <w:jc w:val="center"/>
      </w:pPr>
      <w:r>
        <w:rPr>
          <w:rFonts w:hint="eastAsia"/>
          <w:b/>
          <w:bCs/>
        </w:rPr>
        <w:t>第三条</w:t>
      </w:r>
      <w:r>
        <w:rPr>
          <w:b/>
          <w:bCs/>
        </w:rPr>
        <w:t xml:space="preserve"> </w:t>
      </w:r>
      <w:r>
        <w:t xml:space="preserve"> </w:t>
      </w:r>
      <w:r>
        <w:rPr>
          <w:rFonts w:hint="eastAsia"/>
        </w:rPr>
        <w:t>各二级学院必须建立严格的低值品、易耗品及材料管理责任制度，在购置计划、保管、使用、回收处理等应有专人负责。做到验收严肃认真，进出手续清楚，账卡记录健全，并定期核对检查，做到账</w:t>
      </w:r>
      <w:proofErr w:type="gramStart"/>
      <w:r>
        <w:rPr>
          <w:rFonts w:hint="eastAsia"/>
        </w:rPr>
        <w:t>账</w:t>
      </w:r>
      <w:proofErr w:type="gramEnd"/>
      <w:r>
        <w:rPr>
          <w:rFonts w:hint="eastAsia"/>
        </w:rPr>
        <w:t>相符，账物相符。</w:t>
      </w:r>
    </w:p>
    <w:p w:rsidR="004D091D" w:rsidRDefault="004D091D" w:rsidP="001C58E7">
      <w:pPr>
        <w:ind w:firstLine="422"/>
        <w:jc w:val="center"/>
      </w:pPr>
      <w:r>
        <w:rPr>
          <w:rFonts w:hint="eastAsia"/>
          <w:b/>
          <w:bCs/>
        </w:rPr>
        <w:t>第四条</w:t>
      </w:r>
      <w:r>
        <w:t xml:space="preserve">  </w:t>
      </w:r>
      <w:r>
        <w:rPr>
          <w:rFonts w:hint="eastAsia"/>
        </w:rPr>
        <w:t>各二级学院应配备政治思想好，并具有相当业务能力人员（或兼职）负责低值品、易耗品及材料的管理工作。管理人员应该相对稳定，需要调动时必须认真办理交接手续。</w:t>
      </w:r>
    </w:p>
    <w:p w:rsidR="004D091D" w:rsidRDefault="004D091D" w:rsidP="001C58E7">
      <w:pPr>
        <w:ind w:firstLine="420"/>
        <w:jc w:val="center"/>
      </w:pPr>
      <w:r>
        <w:rPr>
          <w:rFonts w:hint="eastAsia"/>
        </w:rPr>
        <w:t>第二章</w:t>
      </w:r>
      <w:r>
        <w:t xml:space="preserve">  </w:t>
      </w:r>
      <w:r>
        <w:rPr>
          <w:rFonts w:hint="eastAsia"/>
        </w:rPr>
        <w:t>低值品、易耗品及材料的范围和分类</w:t>
      </w:r>
    </w:p>
    <w:p w:rsidR="004D091D" w:rsidRDefault="004D091D" w:rsidP="001C58E7">
      <w:pPr>
        <w:ind w:firstLine="422"/>
        <w:jc w:val="center"/>
      </w:pPr>
      <w:r>
        <w:rPr>
          <w:rFonts w:hint="eastAsia"/>
          <w:b/>
          <w:bCs/>
        </w:rPr>
        <w:t>第五条</w:t>
      </w:r>
      <w:r>
        <w:t xml:space="preserve">  </w:t>
      </w:r>
      <w:r>
        <w:rPr>
          <w:rFonts w:hint="eastAsia"/>
        </w:rPr>
        <w:t>材料：指金属、非金属的各种原材料、燃料、试剂、服装及物料、消耗性体育材料、维修材料、消防专用材料等。</w:t>
      </w:r>
    </w:p>
    <w:p w:rsidR="004D091D" w:rsidRDefault="004D091D" w:rsidP="001C58E7">
      <w:pPr>
        <w:ind w:firstLine="420"/>
        <w:jc w:val="center"/>
      </w:pPr>
      <w:r>
        <w:rPr>
          <w:rFonts w:hint="eastAsia"/>
        </w:rPr>
        <w:t>低值品：指达不到固定资产标准，又不属于材料、易耗品范围，耐用时间在一年以上，能单独使用的，单价在</w:t>
      </w:r>
      <w:r>
        <w:t>500</w:t>
      </w:r>
      <w:r>
        <w:rPr>
          <w:rFonts w:hint="eastAsia"/>
        </w:rPr>
        <w:t>元及以上，但不足</w:t>
      </w:r>
      <w:r>
        <w:t>1000</w:t>
      </w:r>
      <w:r>
        <w:rPr>
          <w:rFonts w:hint="eastAsia"/>
        </w:rPr>
        <w:t>元（专用设备不足</w:t>
      </w:r>
      <w:r>
        <w:t>1500</w:t>
      </w:r>
      <w:r>
        <w:rPr>
          <w:rFonts w:hint="eastAsia"/>
        </w:rPr>
        <w:t>元）的物品，如：仪器、仪表、文艺体育用品、教具、工具、量具、器具、家具等物品。单价</w:t>
      </w:r>
      <w:r>
        <w:t>500</w:t>
      </w:r>
      <w:r>
        <w:rPr>
          <w:rFonts w:hint="eastAsia"/>
        </w:rPr>
        <w:t>元及以上，又不属于材料、易耗品范围，且批量购置数量达到</w:t>
      </w:r>
      <w:r>
        <w:t>100</w:t>
      </w:r>
      <w:r>
        <w:rPr>
          <w:rFonts w:hint="eastAsia"/>
        </w:rPr>
        <w:t>台套及以上的物品按固定资产验收建账。单价不足</w:t>
      </w:r>
      <w:r>
        <w:t>500</w:t>
      </w:r>
      <w:r>
        <w:rPr>
          <w:rFonts w:hint="eastAsia"/>
        </w:rPr>
        <w:t>元的仪器、仪表、文艺体育用品、教具、工具、量具、器具和家具按易耗品管理。</w:t>
      </w:r>
    </w:p>
    <w:p w:rsidR="004D091D" w:rsidRDefault="004D091D" w:rsidP="001C58E7">
      <w:pPr>
        <w:ind w:firstLine="420"/>
        <w:jc w:val="center"/>
      </w:pPr>
      <w:r>
        <w:rPr>
          <w:rFonts w:hint="eastAsia"/>
        </w:rPr>
        <w:t>易耗品：指玻璃器皿、元件、零配件等。</w:t>
      </w:r>
    </w:p>
    <w:p w:rsidR="004D091D" w:rsidRDefault="004D091D" w:rsidP="001C58E7">
      <w:pPr>
        <w:ind w:firstLine="422"/>
        <w:jc w:val="center"/>
      </w:pPr>
      <w:r>
        <w:rPr>
          <w:rFonts w:hint="eastAsia"/>
          <w:b/>
          <w:bCs/>
        </w:rPr>
        <w:t>第六条</w:t>
      </w:r>
      <w:r>
        <w:t xml:space="preserve">  </w:t>
      </w:r>
      <w:r>
        <w:rPr>
          <w:rFonts w:hint="eastAsia"/>
        </w:rPr>
        <w:t>低值品、易耗品、材料的分类应根据广东省高教局编印的《广东省高等学校材料、易耗品、低值品分类目录》进行分类。由各二级学院记分类账，以便检查及学期末清查。</w:t>
      </w:r>
    </w:p>
    <w:p w:rsidR="004D091D" w:rsidRDefault="004D091D" w:rsidP="001C58E7">
      <w:pPr>
        <w:ind w:firstLine="420"/>
        <w:jc w:val="center"/>
      </w:pPr>
      <w:r>
        <w:rPr>
          <w:rFonts w:hint="eastAsia"/>
        </w:rPr>
        <w:t>第三章</w:t>
      </w:r>
      <w:r>
        <w:t xml:space="preserve">  </w:t>
      </w:r>
      <w:r>
        <w:rPr>
          <w:rFonts w:hint="eastAsia"/>
        </w:rPr>
        <w:t>采购计划的审批</w:t>
      </w:r>
    </w:p>
    <w:p w:rsidR="004D091D" w:rsidRDefault="004D091D" w:rsidP="001C58E7">
      <w:pPr>
        <w:ind w:firstLine="422"/>
        <w:jc w:val="center"/>
      </w:pPr>
      <w:r>
        <w:rPr>
          <w:rFonts w:hint="eastAsia"/>
          <w:b/>
          <w:bCs/>
        </w:rPr>
        <w:t>第七条</w:t>
      </w:r>
      <w:r>
        <w:rPr>
          <w:b/>
          <w:bCs/>
        </w:rPr>
        <w:t xml:space="preserve"> </w:t>
      </w:r>
      <w:r>
        <w:t xml:space="preserve"> </w:t>
      </w:r>
      <w:r>
        <w:rPr>
          <w:rFonts w:hint="eastAsia"/>
        </w:rPr>
        <w:t>每学期末各二级学院（部、中心）、校区将下一学期实验、实</w:t>
      </w:r>
      <w:proofErr w:type="gramStart"/>
      <w:r>
        <w:rPr>
          <w:rFonts w:hint="eastAsia"/>
        </w:rPr>
        <w:t>训教学</w:t>
      </w:r>
      <w:proofErr w:type="gramEnd"/>
      <w:r>
        <w:rPr>
          <w:rFonts w:hint="eastAsia"/>
        </w:rPr>
        <w:t>所需的低值品、易耗品及材料，填报《汕头职业技术学院低值品、易耗品及材料申购计划表》，报技能实训中心。</w:t>
      </w:r>
    </w:p>
    <w:p w:rsidR="004D091D" w:rsidRDefault="004D091D" w:rsidP="001C58E7">
      <w:pPr>
        <w:ind w:firstLine="422"/>
        <w:jc w:val="center"/>
      </w:pPr>
      <w:r>
        <w:rPr>
          <w:rFonts w:hint="eastAsia"/>
          <w:b/>
          <w:bCs/>
        </w:rPr>
        <w:lastRenderedPageBreak/>
        <w:t>第八条</w:t>
      </w:r>
      <w:r>
        <w:t xml:space="preserve">  </w:t>
      </w:r>
      <w:r>
        <w:rPr>
          <w:rFonts w:hint="eastAsia"/>
        </w:rPr>
        <w:t>技能实训中心进行汇总初审后，报财务处列入年度预算，额度直接归口到各二级学院管理，由二级学院在预算额度内，按学院采购管理办法要求组织采购。</w:t>
      </w:r>
    </w:p>
    <w:p w:rsidR="004D091D" w:rsidRDefault="004D091D" w:rsidP="001C58E7">
      <w:pPr>
        <w:ind w:firstLine="422"/>
        <w:jc w:val="center"/>
      </w:pPr>
      <w:r>
        <w:rPr>
          <w:rFonts w:hint="eastAsia"/>
          <w:b/>
          <w:bCs/>
        </w:rPr>
        <w:t>第九条</w:t>
      </w:r>
      <w:r>
        <w:rPr>
          <w:b/>
          <w:bCs/>
        </w:rPr>
        <w:t xml:space="preserve">  </w:t>
      </w:r>
      <w:r>
        <w:rPr>
          <w:rFonts w:hint="eastAsia"/>
        </w:rPr>
        <w:t>各二级学院应严格做好耗材验收、出入库管理等工作，确保教学耗材账物一致；采购及执行情况每学期应报送技能实训中心备案。各二级学院耗材预算不足部分额度，由技能实训中心统筹管理。</w:t>
      </w:r>
    </w:p>
    <w:p w:rsidR="004D091D" w:rsidRDefault="004D091D" w:rsidP="001C58E7">
      <w:pPr>
        <w:ind w:firstLine="420"/>
        <w:jc w:val="center"/>
      </w:pPr>
      <w:r>
        <w:rPr>
          <w:rFonts w:hint="eastAsia"/>
        </w:rPr>
        <w:t>第四章</w:t>
      </w:r>
      <w:r>
        <w:t xml:space="preserve">  </w:t>
      </w:r>
      <w:r>
        <w:rPr>
          <w:rFonts w:hint="eastAsia"/>
        </w:rPr>
        <w:t>实验实训室低值品、易耗品及材料的实物管理</w:t>
      </w:r>
    </w:p>
    <w:p w:rsidR="004D091D" w:rsidRDefault="004D091D" w:rsidP="001C58E7">
      <w:pPr>
        <w:ind w:firstLine="422"/>
        <w:jc w:val="center"/>
      </w:pPr>
      <w:r>
        <w:rPr>
          <w:rFonts w:hint="eastAsia"/>
          <w:b/>
          <w:bCs/>
        </w:rPr>
        <w:t>第十条</w:t>
      </w:r>
      <w:r>
        <w:t xml:space="preserve">  </w:t>
      </w:r>
      <w:r>
        <w:rPr>
          <w:rFonts w:hint="eastAsia"/>
        </w:rPr>
        <w:t>低值品、易耗品及材料物品的账务管理</w:t>
      </w:r>
    </w:p>
    <w:p w:rsidR="004D091D" w:rsidRDefault="004D091D" w:rsidP="001C58E7">
      <w:pPr>
        <w:ind w:firstLine="420"/>
        <w:jc w:val="center"/>
      </w:pPr>
      <w:r>
        <w:t>1.</w:t>
      </w:r>
      <w:r>
        <w:rPr>
          <w:rFonts w:hint="eastAsia"/>
        </w:rPr>
        <w:t>各二级学院的实验、实训室或仓库，应建立分类账簿，并且应设置有品名、型号、规格、数量、单价的物资明细账，提倡用计算机进行管理，对库存种类物资及时进行增减记录。货物架设货物卡，使卡、物相符。</w:t>
      </w:r>
    </w:p>
    <w:p w:rsidR="004D091D" w:rsidRDefault="004D091D" w:rsidP="001C58E7">
      <w:pPr>
        <w:ind w:firstLine="420"/>
        <w:jc w:val="center"/>
      </w:pPr>
      <w:r>
        <w:t>2.</w:t>
      </w:r>
      <w:r>
        <w:rPr>
          <w:rFonts w:hint="eastAsia"/>
        </w:rPr>
        <w:t>各实验、实训室或仓库，在每学期期末要对本学期的低值品、易耗品及材料的出、入库明细账进行结账，并把情况报技能实训中心。</w:t>
      </w:r>
    </w:p>
    <w:p w:rsidR="004D091D" w:rsidRDefault="004D091D" w:rsidP="001C58E7">
      <w:pPr>
        <w:ind w:firstLine="420"/>
        <w:jc w:val="center"/>
      </w:pPr>
      <w:r>
        <w:rPr>
          <w:rFonts w:hint="eastAsia"/>
        </w:rPr>
        <w:t>技能实训中心将不定期地对上述物品在保管、使用进行抽查和检查。</w:t>
      </w:r>
    </w:p>
    <w:p w:rsidR="004D091D" w:rsidRDefault="004D091D" w:rsidP="001C58E7">
      <w:pPr>
        <w:ind w:firstLine="422"/>
        <w:jc w:val="center"/>
      </w:pPr>
      <w:r>
        <w:rPr>
          <w:rFonts w:hint="eastAsia"/>
          <w:b/>
          <w:bCs/>
        </w:rPr>
        <w:t>第十一条</w:t>
      </w:r>
      <w:r>
        <w:t xml:space="preserve">  </w:t>
      </w:r>
      <w:r>
        <w:rPr>
          <w:rFonts w:hint="eastAsia"/>
        </w:rPr>
        <w:t>低值品、易耗品及材料的实物管理</w:t>
      </w:r>
    </w:p>
    <w:p w:rsidR="004D091D" w:rsidRDefault="004D091D" w:rsidP="001C58E7">
      <w:pPr>
        <w:ind w:firstLine="420"/>
        <w:jc w:val="center"/>
      </w:pPr>
      <w:r>
        <w:t>1.</w:t>
      </w:r>
      <w:r>
        <w:rPr>
          <w:rFonts w:hint="eastAsia"/>
        </w:rPr>
        <w:t>库存管理</w:t>
      </w:r>
    </w:p>
    <w:p w:rsidR="004D091D" w:rsidRDefault="004D091D" w:rsidP="001C58E7">
      <w:pPr>
        <w:ind w:firstLine="420"/>
        <w:jc w:val="center"/>
      </w:pPr>
      <w:r>
        <w:rPr>
          <w:rFonts w:hint="eastAsia"/>
        </w:rPr>
        <w:t>⑴库存低值品、易耗品及材料的管理使用应做到存放有序，零散分开，卡物对号，定位存放，便于收发和检查。对贵重、稀缺材料应加强保管。</w:t>
      </w:r>
    </w:p>
    <w:p w:rsidR="004D091D" w:rsidRDefault="004D091D" w:rsidP="001C58E7">
      <w:pPr>
        <w:ind w:firstLine="420"/>
        <w:jc w:val="center"/>
      </w:pPr>
      <w:r>
        <w:rPr>
          <w:rFonts w:hint="eastAsia"/>
        </w:rPr>
        <w:t>⑵应注意改善库房空气、防潮湿、防火防盗条件，加强对物品质量管理，严防损坏、变质和丢失。</w:t>
      </w:r>
    </w:p>
    <w:p w:rsidR="004D091D" w:rsidRDefault="004D091D" w:rsidP="001C58E7">
      <w:pPr>
        <w:ind w:firstLine="420"/>
        <w:jc w:val="center"/>
      </w:pPr>
      <w:r>
        <w:t>2.</w:t>
      </w:r>
      <w:r>
        <w:rPr>
          <w:rFonts w:hint="eastAsia"/>
        </w:rPr>
        <w:t>在用低值品、易耗品及材料的管理</w:t>
      </w:r>
    </w:p>
    <w:p w:rsidR="004D091D" w:rsidRDefault="004D091D" w:rsidP="001C58E7">
      <w:pPr>
        <w:ind w:firstLine="420"/>
        <w:jc w:val="center"/>
      </w:pPr>
      <w:r>
        <w:rPr>
          <w:rFonts w:hint="eastAsia"/>
        </w:rPr>
        <w:t>⑴实验、实训室、办公室、维修组、暗房等使用单位所有的低值品、易耗品及材料，属在用的，使用单位不设仓库，为了保证日常消耗和维修需要，对常用的和专用的低值易耗品及材料可限量备用。</w:t>
      </w:r>
    </w:p>
    <w:p w:rsidR="004D091D" w:rsidRDefault="004D091D" w:rsidP="001C58E7">
      <w:pPr>
        <w:ind w:firstLine="420"/>
        <w:jc w:val="center"/>
      </w:pPr>
      <w:r>
        <w:rPr>
          <w:rFonts w:hint="eastAsia"/>
        </w:rPr>
        <w:t>⑵各使用单位应分别根据低值品、易耗品及材料分别按《汕头职业技术学院低值品入库登记册》、《汕头职业技术学院易耗品及材料入库登记册》及《汕头职业技术学院低值品领用登记册》、《汕头职业技术学院易耗品及材料领用登记册》进行入库及领用手续的办理。</w:t>
      </w:r>
    </w:p>
    <w:p w:rsidR="004D091D" w:rsidRDefault="004D091D" w:rsidP="001C58E7">
      <w:pPr>
        <w:ind w:firstLine="420"/>
        <w:jc w:val="center"/>
      </w:pPr>
      <w:r>
        <w:rPr>
          <w:rFonts w:hint="eastAsia"/>
        </w:rPr>
        <w:t>第五章</w:t>
      </w:r>
      <w:r>
        <w:t xml:space="preserve">  </w:t>
      </w:r>
      <w:r>
        <w:rPr>
          <w:rFonts w:hint="eastAsia"/>
        </w:rPr>
        <w:t>危险物品的管理</w:t>
      </w:r>
    </w:p>
    <w:p w:rsidR="004D091D" w:rsidRDefault="004D091D" w:rsidP="001C58E7">
      <w:pPr>
        <w:ind w:firstLine="422"/>
        <w:jc w:val="center"/>
      </w:pPr>
      <w:r>
        <w:rPr>
          <w:rFonts w:hint="eastAsia"/>
          <w:b/>
          <w:bCs/>
        </w:rPr>
        <w:t>第十二条</w:t>
      </w:r>
      <w:r>
        <w:rPr>
          <w:b/>
          <w:bCs/>
        </w:rPr>
        <w:t xml:space="preserve"> </w:t>
      </w:r>
      <w:r>
        <w:t xml:space="preserve"> </w:t>
      </w:r>
      <w:r>
        <w:rPr>
          <w:rFonts w:hint="eastAsia"/>
        </w:rPr>
        <w:t>对易燃、易爆、剧毒、放射性材料及其他危险物品，必须选定可靠并且有一定保管知识的人员专门管理。教师、实验技术人员领用时要由实验室主任审批，限量发给。管理人员要严格执行管理制度，要随用随领，不能留备。对领用、报废等应详细登记。学院保卫科应经常检查。对有关提运、使用和管理人员要加强安全教育，采取安全措施和劳动保护，保证人身和物资安全。</w:t>
      </w:r>
    </w:p>
    <w:p w:rsidR="004D091D" w:rsidRDefault="004D091D" w:rsidP="001C58E7">
      <w:pPr>
        <w:ind w:firstLine="422"/>
        <w:jc w:val="center"/>
      </w:pPr>
      <w:r>
        <w:rPr>
          <w:rFonts w:hint="eastAsia"/>
          <w:b/>
          <w:bCs/>
        </w:rPr>
        <w:lastRenderedPageBreak/>
        <w:t>第十三条</w:t>
      </w:r>
      <w:r>
        <w:t xml:space="preserve">  </w:t>
      </w:r>
      <w:r>
        <w:rPr>
          <w:rFonts w:hint="eastAsia"/>
        </w:rPr>
        <w:t>危险物品的采购和提运应遵照公安部门和交通运输部门的有关规定设立仓库，分类存放，建立安全检查制度，防止变质、分解造成燃烧或爆炸。</w:t>
      </w:r>
    </w:p>
    <w:p w:rsidR="004D091D" w:rsidRDefault="004D091D" w:rsidP="001C58E7">
      <w:pPr>
        <w:ind w:firstLine="422"/>
        <w:jc w:val="center"/>
      </w:pPr>
      <w:r>
        <w:rPr>
          <w:rFonts w:hint="eastAsia"/>
          <w:b/>
          <w:bCs/>
        </w:rPr>
        <w:t>第十四条</w:t>
      </w:r>
      <w:r>
        <w:t xml:space="preserve">  </w:t>
      </w:r>
      <w:r>
        <w:rPr>
          <w:rFonts w:hint="eastAsia"/>
        </w:rPr>
        <w:t>剧毒物品按公安部门的有关规定范围进行管理。建立专门的账簿，注意存放安全，计量和记载必须精确。领用必须经实验室主任审批。使用时最少有二人在场。用剩的须及时退回仓库管理。</w:t>
      </w:r>
    </w:p>
    <w:p w:rsidR="004D091D" w:rsidRDefault="004D091D" w:rsidP="001C58E7">
      <w:pPr>
        <w:ind w:firstLine="422"/>
        <w:jc w:val="center"/>
      </w:pPr>
      <w:r>
        <w:rPr>
          <w:rFonts w:hint="eastAsia"/>
          <w:b/>
          <w:bCs/>
        </w:rPr>
        <w:t>第十五条</w:t>
      </w:r>
      <w:r>
        <w:t xml:space="preserve">  </w:t>
      </w:r>
      <w:r>
        <w:rPr>
          <w:rFonts w:hint="eastAsia"/>
        </w:rPr>
        <w:t>危险药品的空容器、变质料、废液废渣由实验室主任指导妥善处理，严禁随意丢弃。</w:t>
      </w:r>
    </w:p>
    <w:p w:rsidR="004D091D" w:rsidRDefault="004D091D" w:rsidP="001C58E7">
      <w:pPr>
        <w:ind w:firstLine="422"/>
        <w:jc w:val="center"/>
        <w:rPr>
          <w:sz w:val="28"/>
          <w:szCs w:val="28"/>
        </w:rPr>
        <w:sectPr w:rsidR="004D091D">
          <w:headerReference w:type="even" r:id="rId7"/>
          <w:headerReference w:type="default" r:id="rId8"/>
          <w:footerReference w:type="even" r:id="rId9"/>
          <w:footerReference w:type="default" r:id="rId10"/>
          <w:headerReference w:type="first" r:id="rId11"/>
          <w:footerReference w:type="first" r:id="rId12"/>
          <w:pgSz w:w="11905" w:h="16838"/>
          <w:pgMar w:top="1440" w:right="1417" w:bottom="1440" w:left="1417" w:header="850" w:footer="992" w:gutter="0"/>
          <w:pgNumType w:fmt="numberInDash"/>
          <w:cols w:space="0"/>
          <w:docGrid w:type="lines" w:linePitch="317"/>
        </w:sectPr>
      </w:pPr>
      <w:r>
        <w:rPr>
          <w:rFonts w:hint="eastAsia"/>
          <w:b/>
          <w:bCs/>
        </w:rPr>
        <w:t>第十六条</w:t>
      </w:r>
      <w:r>
        <w:t xml:space="preserve">  </w:t>
      </w:r>
      <w:r>
        <w:rPr>
          <w:rFonts w:hint="eastAsia"/>
        </w:rPr>
        <w:t>本办法由学院技能实训中心负责解释，自公布之日起施行</w:t>
      </w:r>
      <w:r>
        <w:rPr>
          <w:rFonts w:hint="eastAsia"/>
          <w:sz w:val="28"/>
          <w:szCs w:val="28"/>
        </w:rPr>
        <w:t>。</w:t>
      </w:r>
    </w:p>
    <w:p w:rsidR="00CC5DAE" w:rsidRPr="004D091D" w:rsidRDefault="00CC5DAE">
      <w:pPr>
        <w:ind w:firstLine="420"/>
      </w:pPr>
      <w:bookmarkStart w:id="1" w:name="_GoBack"/>
      <w:bookmarkEnd w:id="1"/>
    </w:p>
    <w:sectPr w:rsidR="00CC5DAE" w:rsidRPr="004D09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573" w:rsidRDefault="00941573" w:rsidP="004D091D">
      <w:pPr>
        <w:spacing w:line="240" w:lineRule="auto"/>
        <w:ind w:firstLine="420"/>
      </w:pPr>
      <w:r>
        <w:separator/>
      </w:r>
    </w:p>
  </w:endnote>
  <w:endnote w:type="continuationSeparator" w:id="0">
    <w:p w:rsidR="00941573" w:rsidRDefault="00941573" w:rsidP="004D091D">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8E7" w:rsidRDefault="001C58E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8E7" w:rsidRDefault="001C58E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8E7" w:rsidRDefault="001C58E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573" w:rsidRDefault="00941573" w:rsidP="004D091D">
      <w:pPr>
        <w:spacing w:line="240" w:lineRule="auto"/>
        <w:ind w:firstLine="420"/>
      </w:pPr>
      <w:r>
        <w:separator/>
      </w:r>
    </w:p>
  </w:footnote>
  <w:footnote w:type="continuationSeparator" w:id="0">
    <w:p w:rsidR="00941573" w:rsidRDefault="00941573" w:rsidP="004D091D">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8E7" w:rsidRDefault="001C58E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91D" w:rsidRDefault="004D091D" w:rsidP="002453A0">
    <w:pPr>
      <w:pStyle w:val="a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8E7" w:rsidRDefault="001C58E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293"/>
    <w:rsid w:val="001C58E7"/>
    <w:rsid w:val="004D091D"/>
    <w:rsid w:val="005D2AD5"/>
    <w:rsid w:val="00941573"/>
    <w:rsid w:val="00AC4EF7"/>
    <w:rsid w:val="00C43293"/>
    <w:rsid w:val="00C51DA5"/>
    <w:rsid w:val="00CC5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8447C3-8429-47A9-B547-B8DA68EA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4D091D"/>
    <w:pPr>
      <w:spacing w:line="440" w:lineRule="exact"/>
      <w:ind w:rightChars="-68" w:right="-143" w:firstLineChars="200" w:firstLine="482"/>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4D091D"/>
    <w:pPr>
      <w:widowControl w:val="0"/>
      <w:pBdr>
        <w:bottom w:val="single" w:sz="6" w:space="1" w:color="auto"/>
      </w:pBdr>
      <w:tabs>
        <w:tab w:val="center" w:pos="4153"/>
        <w:tab w:val="right" w:pos="8306"/>
      </w:tabs>
      <w:snapToGrid w:val="0"/>
      <w:spacing w:line="240" w:lineRule="auto"/>
      <w:ind w:rightChars="0" w:right="0"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D091D"/>
    <w:rPr>
      <w:sz w:val="18"/>
      <w:szCs w:val="18"/>
    </w:rPr>
  </w:style>
  <w:style w:type="paragraph" w:styleId="a4">
    <w:name w:val="footer"/>
    <w:basedOn w:val="a"/>
    <w:link w:val="Char0"/>
    <w:uiPriority w:val="99"/>
    <w:unhideWhenUsed/>
    <w:rsid w:val="004D091D"/>
    <w:pPr>
      <w:widowControl w:val="0"/>
      <w:tabs>
        <w:tab w:val="center" w:pos="4153"/>
        <w:tab w:val="right" w:pos="8306"/>
      </w:tabs>
      <w:snapToGrid w:val="0"/>
      <w:spacing w:line="240" w:lineRule="auto"/>
      <w:ind w:rightChars="0" w:right="0" w:firstLineChars="0" w:firstLine="0"/>
    </w:pPr>
    <w:rPr>
      <w:rFonts w:asciiTheme="minorHAnsi" w:eastAsiaTheme="minorEastAsia" w:hAnsiTheme="minorHAnsi" w:cstheme="minorBidi"/>
      <w:sz w:val="18"/>
      <w:szCs w:val="18"/>
    </w:rPr>
  </w:style>
  <w:style w:type="character" w:customStyle="1" w:styleId="Char0">
    <w:name w:val="页脚 Char"/>
    <w:basedOn w:val="a0"/>
    <w:link w:val="a4"/>
    <w:uiPriority w:val="99"/>
    <w:rsid w:val="004D09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CAC8F-BCE0-42E5-A5DD-B40197048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324</Words>
  <Characters>1851</Characters>
  <Application>Microsoft Office Word</Application>
  <DocSecurity>0</DocSecurity>
  <Lines>15</Lines>
  <Paragraphs>4</Paragraphs>
  <ScaleCrop>false</ScaleCrop>
  <Company>HP</Company>
  <LinksUpToDate>false</LinksUpToDate>
  <CharactersWithSpaces>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dc:creator>
  <cp:keywords/>
  <dc:description/>
  <cp:lastModifiedBy>608</cp:lastModifiedBy>
  <cp:revision>4</cp:revision>
  <dcterms:created xsi:type="dcterms:W3CDTF">2024-09-18T08:21:00Z</dcterms:created>
  <dcterms:modified xsi:type="dcterms:W3CDTF">2024-09-18T08:27:00Z</dcterms:modified>
</cp:coreProperties>
</file>