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1A455">
      <w:pPr>
        <w:pStyle w:val="3"/>
        <w:keepNext w:val="0"/>
        <w:keepLines w:val="0"/>
        <w:pageBreakBefore w:val="0"/>
        <w:widowControl w:val="0"/>
        <w:kinsoku/>
        <w:wordWrap/>
        <w:overflowPunct/>
        <w:topLinePunct w:val="0"/>
        <w:autoSpaceDE/>
        <w:autoSpaceDN/>
        <w:bidi w:val="0"/>
        <w:adjustRightInd/>
        <w:snapToGrid/>
        <w:spacing w:before="157" w:beforeLines="50" w:after="0" w:line="440" w:lineRule="exact"/>
        <w:textAlignment w:val="auto"/>
        <w:rPr>
          <w:rStyle w:val="6"/>
          <w:rFonts w:hint="eastAsia" w:asciiTheme="minorEastAsia" w:hAnsiTheme="minorEastAsia" w:eastAsiaTheme="minorEastAsia" w:cstheme="minorEastAsia"/>
          <w:b/>
          <w:bCs/>
          <w:kern w:val="2"/>
          <w:sz w:val="28"/>
          <w:szCs w:val="28"/>
        </w:rPr>
      </w:pPr>
      <w:bookmarkStart w:id="0" w:name="_Toc20173"/>
      <w:bookmarkStart w:id="1" w:name="_Toc20133"/>
      <w:bookmarkStart w:id="2" w:name="_Toc2239"/>
      <w:bookmarkStart w:id="3" w:name="_Toc5228"/>
      <w:r>
        <w:rPr>
          <w:rStyle w:val="6"/>
          <w:rFonts w:hint="eastAsia" w:asciiTheme="minorEastAsia" w:hAnsiTheme="minorEastAsia" w:eastAsiaTheme="minorEastAsia" w:cstheme="minorEastAsia"/>
          <w:b/>
          <w:bCs/>
          <w:kern w:val="2"/>
          <w:sz w:val="28"/>
          <w:szCs w:val="28"/>
        </w:rPr>
        <w:t>汕头职业技术学院教师考核办法（2023年修订）</w:t>
      </w:r>
      <w:bookmarkEnd w:id="0"/>
      <w:bookmarkEnd w:id="1"/>
      <w:bookmarkEnd w:id="2"/>
      <w:bookmarkEnd w:id="3"/>
    </w:p>
    <w:p w14:paraId="4CDB904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汕职</w:t>
      </w:r>
      <w:r>
        <w:rPr>
          <w:rFonts w:hint="eastAsia" w:asciiTheme="minorEastAsia" w:hAnsiTheme="minorEastAsia" w:eastAsiaTheme="minorEastAsia" w:cstheme="minorEastAsia"/>
          <w:b w:val="0"/>
          <w:bCs/>
          <w:sz w:val="24"/>
          <w:szCs w:val="24"/>
          <w:lang w:val="en-US" w:eastAsia="zh-CN"/>
        </w:rPr>
        <w:t>党办</w:t>
      </w:r>
      <w:r>
        <w:rPr>
          <w:rFonts w:hint="eastAsia" w:asciiTheme="minorEastAsia" w:hAnsiTheme="minorEastAsia" w:eastAsiaTheme="minorEastAsia" w:cstheme="minorEastAsia"/>
          <w:b w:val="0"/>
          <w:bCs/>
          <w:sz w:val="24"/>
          <w:szCs w:val="24"/>
        </w:rPr>
        <w:t>〔20</w:t>
      </w:r>
      <w:r>
        <w:rPr>
          <w:rFonts w:hint="eastAsia" w:asciiTheme="minorEastAsia" w:hAnsiTheme="minorEastAsia" w:eastAsiaTheme="minorEastAsia" w:cstheme="minorEastAsia"/>
          <w:b w:val="0"/>
          <w:bCs/>
          <w:sz w:val="24"/>
          <w:szCs w:val="24"/>
          <w:lang w:val="en-US" w:eastAsia="zh-CN"/>
        </w:rPr>
        <w:t>23</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114</w:t>
      </w:r>
      <w:r>
        <w:rPr>
          <w:rFonts w:hint="eastAsia" w:asciiTheme="minorEastAsia" w:hAnsiTheme="minorEastAsia" w:eastAsiaTheme="minorEastAsia" w:cstheme="minorEastAsia"/>
          <w:b w:val="0"/>
          <w:bCs/>
          <w:sz w:val="24"/>
          <w:szCs w:val="24"/>
        </w:rPr>
        <w:t>号</w:t>
      </w:r>
      <w:r>
        <w:rPr>
          <w:rFonts w:hint="eastAsia" w:asciiTheme="minorEastAsia" w:hAnsiTheme="minorEastAsia" w:eastAsiaTheme="minorEastAsia" w:cstheme="minorEastAsia"/>
          <w:b w:val="0"/>
          <w:bCs/>
          <w:sz w:val="24"/>
          <w:szCs w:val="24"/>
          <w:lang w:eastAsia="zh-CN"/>
        </w:rPr>
        <w:t>）</w:t>
      </w:r>
    </w:p>
    <w:p w14:paraId="787EBAE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4" w:name="_Toc9436"/>
      <w:bookmarkStart w:id="5" w:name="_Toc8365"/>
      <w:r>
        <w:rPr>
          <w:rFonts w:hint="eastAsia" w:asciiTheme="minorEastAsia" w:hAnsiTheme="minorEastAsia" w:eastAsiaTheme="minorEastAsia" w:cstheme="minorEastAsia"/>
          <w:b/>
          <w:bCs/>
          <w:kern w:val="0"/>
          <w:sz w:val="24"/>
          <w:szCs w:val="24"/>
        </w:rPr>
        <w:t>第一章  总则</w:t>
      </w:r>
      <w:bookmarkEnd w:id="4"/>
      <w:bookmarkEnd w:id="5"/>
      <w:bookmarkStart w:id="26" w:name="_GoBack"/>
      <w:bookmarkEnd w:id="26"/>
    </w:p>
    <w:p w14:paraId="2AAB7751">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第一条</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指导思想。</w:t>
      </w:r>
      <w:r>
        <w:rPr>
          <w:rFonts w:hint="eastAsia" w:asciiTheme="minorEastAsia" w:hAnsiTheme="minorEastAsia" w:eastAsiaTheme="minorEastAsia" w:cstheme="minorEastAsia"/>
          <w:kern w:val="0"/>
          <w:sz w:val="24"/>
          <w:szCs w:val="24"/>
        </w:rPr>
        <w:t>坚持以习近平新时代中国特色社会主义思想为指导，贯彻新时代党的组织路线和干部工作方针政策。根据《中华人民共和国教师法》、《中华人民共和国高等教育法》、《事业单位工作人员考核规定》、（人社部发〔2023〕6号）、《广东省事业单位工作人员考核办法（试行）》（粤人社发〔2011〕125号）等法律法规以及相关文件精神，结合我院实际，制定本办法。</w:t>
      </w:r>
    </w:p>
    <w:p w14:paraId="3F7B236C">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第二条</w:t>
      </w:r>
      <w:r>
        <w:rPr>
          <w:rFonts w:hint="eastAsia" w:asciiTheme="minorEastAsia" w:hAnsiTheme="minorEastAsia" w:eastAsiaTheme="minorEastAsia" w:cstheme="minorEastAsia"/>
          <w:kern w:val="0"/>
          <w:sz w:val="24"/>
          <w:szCs w:val="24"/>
        </w:rPr>
        <w:t xml:space="preserve">  考核原则。教师考核着眼于建设一支素质优良、结构合理、流动有序的高水平教师队伍，进一步强化教师岗位管理，明确各类教师岗位工作职责，量化教师岗位基本工作任务，引导各类教师岗位工作人员积极开展工作，以促进学校教学、科研、管理、服务等各项工作绩效最大化的目标。坚持下列原则：</w:t>
      </w:r>
    </w:p>
    <w:p w14:paraId="7118370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（一）党管干部、党管人才；</w:t>
      </w:r>
    </w:p>
    <w:p w14:paraId="187E514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（二）德才兼备、以德为先；</w:t>
      </w:r>
    </w:p>
    <w:p w14:paraId="54B9516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（三）事业为上、公道正派；</w:t>
      </w:r>
    </w:p>
    <w:p w14:paraId="4404104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（四）注重实绩、群众公认；</w:t>
      </w:r>
    </w:p>
    <w:p w14:paraId="66E99EA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（五）分级分类、简便有效；</w:t>
      </w:r>
    </w:p>
    <w:p w14:paraId="0EF8794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（六）考用结合、奖惩分明。</w:t>
      </w:r>
    </w:p>
    <w:p w14:paraId="3602805B">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第三条</w:t>
      </w:r>
      <w:r>
        <w:rPr>
          <w:rFonts w:hint="eastAsia" w:asciiTheme="minorEastAsia" w:hAnsiTheme="minorEastAsia" w:eastAsiaTheme="minorEastAsia" w:cstheme="minorEastAsia"/>
          <w:kern w:val="0"/>
          <w:sz w:val="24"/>
          <w:szCs w:val="24"/>
        </w:rPr>
        <w:t xml:space="preserve">  考核对象。在我院专门从事教学科研工作的在职在编专任教师。</w:t>
      </w:r>
    </w:p>
    <w:p w14:paraId="3ABB0D54">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第四条</w:t>
      </w:r>
      <w:r>
        <w:rPr>
          <w:rFonts w:hint="eastAsia" w:asciiTheme="minorEastAsia" w:hAnsiTheme="minorEastAsia" w:eastAsiaTheme="minorEastAsia" w:cstheme="minorEastAsia"/>
          <w:kern w:val="0"/>
          <w:sz w:val="24"/>
          <w:szCs w:val="24"/>
        </w:rPr>
        <w:t xml:space="preserve">  考核内容。以教师岗位职责和所承担的工作任务为基本依据，全面考核专任教师的德、能、勤、绩、廉，突出对德和绩的考核。</w:t>
      </w:r>
    </w:p>
    <w:p w14:paraId="51C76439">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14:paraId="0C09EBF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14:paraId="6423246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（三）勤。全面考核精神状态和工作作风，重点了解爱岗敬业、勤勉尽责、担当作为、锐意进取、勇于创造、甘于奉献等情况。</w:t>
      </w:r>
    </w:p>
    <w:p w14:paraId="0E5A12A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绩。全面考核践行以人民为中心的发展思想，依法依规履行岗位职责、承担急难险重任务、为学生办实事等情况，重点了解完成工作的数量、质量、时效、成本，产生的社会效益和经济效益，服务对象满意度等情况。</w:t>
      </w:r>
    </w:p>
    <w:p w14:paraId="7902063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（五）廉。全面考核廉洁从业情况，重点了解落实中央八项规定及其实施细则精神，执行本系统、本行业、本单位行风建设相关规章制度，遵规守纪、廉洁自律等情况。</w:t>
      </w:r>
    </w:p>
    <w:p w14:paraId="3861E4E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6" w:name="_Toc24552"/>
      <w:bookmarkStart w:id="7" w:name="_Toc7222"/>
      <w:r>
        <w:rPr>
          <w:rFonts w:hint="eastAsia" w:asciiTheme="minorEastAsia" w:hAnsiTheme="minorEastAsia" w:eastAsiaTheme="minorEastAsia" w:cstheme="minorEastAsia"/>
          <w:b/>
          <w:bCs/>
          <w:kern w:val="0"/>
          <w:sz w:val="24"/>
          <w:szCs w:val="24"/>
        </w:rPr>
        <w:t>第二章  考核机构</w:t>
      </w:r>
      <w:bookmarkEnd w:id="6"/>
      <w:bookmarkEnd w:id="7"/>
    </w:p>
    <w:p w14:paraId="6CA51336">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第五条</w:t>
      </w:r>
      <w:r>
        <w:rPr>
          <w:rFonts w:hint="eastAsia" w:asciiTheme="minorEastAsia" w:hAnsiTheme="minorEastAsia" w:eastAsiaTheme="minorEastAsia" w:cstheme="minorEastAsia"/>
          <w:kern w:val="0"/>
          <w:sz w:val="24"/>
          <w:szCs w:val="24"/>
        </w:rPr>
        <w:t xml:space="preserve">  为保证考核工作的顺利开展，成立学校考核小组；各院（部）成立相应的二级考核小组。其组成和工作职责分别如下：</w:t>
      </w:r>
    </w:p>
    <w:p w14:paraId="623CC22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（一）学校考核小组</w:t>
      </w:r>
    </w:p>
    <w:p w14:paraId="20212DD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组成：由分管组织人事工作的学校领导、组织人事和纪检监察人员、教职工代表组成。考核小组成员按有关规定实行回避制度。</w:t>
      </w:r>
    </w:p>
    <w:p w14:paraId="7C2FBE73">
      <w:pPr>
        <w:keepNext w:val="0"/>
        <w:keepLines w:val="0"/>
        <w:pageBreakBefore w:val="0"/>
        <w:widowControl/>
        <w:kinsoku/>
        <w:wordWrap/>
        <w:overflowPunct/>
        <w:topLinePunct w:val="0"/>
        <w:autoSpaceDE/>
        <w:autoSpaceDN/>
        <w:bidi w:val="0"/>
        <w:snapToGrid w:val="0"/>
        <w:spacing w:line="440" w:lineRule="exact"/>
        <w:ind w:firstLine="48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工作职责：牵头组织考核工作；受理申诉并做出处理决定。</w:t>
      </w:r>
    </w:p>
    <w:p w14:paraId="62976DF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（二）二级考核小组</w:t>
      </w:r>
    </w:p>
    <w:p w14:paraId="0D2C355C">
      <w:pPr>
        <w:keepNext w:val="0"/>
        <w:keepLines w:val="0"/>
        <w:pageBreakBefore w:val="0"/>
        <w:widowControl/>
        <w:kinsoku/>
        <w:wordWrap/>
        <w:overflowPunct/>
        <w:topLinePunct w:val="0"/>
        <w:autoSpaceDE/>
        <w:autoSpaceDN/>
        <w:bidi w:val="0"/>
        <w:snapToGrid w:val="0"/>
        <w:spacing w:line="440" w:lineRule="exact"/>
        <w:ind w:firstLine="48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组成：各</w:t>
      </w:r>
      <w:r>
        <w:rPr>
          <w:rFonts w:hint="eastAsia" w:asciiTheme="minorEastAsia" w:hAnsiTheme="minorEastAsia" w:eastAsiaTheme="minorEastAsia" w:cstheme="minorEastAsia"/>
          <w:kern w:val="0"/>
          <w:sz w:val="24"/>
          <w:szCs w:val="24"/>
        </w:rPr>
        <w:t>院（部）</w:t>
      </w:r>
      <w:r>
        <w:rPr>
          <w:rFonts w:hint="eastAsia" w:asciiTheme="minorEastAsia" w:hAnsiTheme="minorEastAsia" w:eastAsiaTheme="minorEastAsia" w:cstheme="minorEastAsia"/>
          <w:sz w:val="24"/>
          <w:szCs w:val="24"/>
        </w:rPr>
        <w:t>成立由部门党政领导班子、专业（群）负责人、办公室主任、专业教研室主任和教师代表等组成的二级考核小组。</w:t>
      </w:r>
    </w:p>
    <w:p w14:paraId="504953FC">
      <w:pPr>
        <w:keepNext w:val="0"/>
        <w:keepLines w:val="0"/>
        <w:pageBreakBefore w:val="0"/>
        <w:widowControl/>
        <w:kinsoku/>
        <w:wordWrap/>
        <w:overflowPunct/>
        <w:topLinePunct w:val="0"/>
        <w:autoSpaceDE/>
        <w:autoSpaceDN/>
        <w:bidi w:val="0"/>
        <w:snapToGrid w:val="0"/>
        <w:spacing w:line="440" w:lineRule="exact"/>
        <w:ind w:firstLine="480" w:firstLineChars="200"/>
        <w:textAlignment w:val="baseline"/>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工作职责：接受学校考核小组指导；组织开展</w:t>
      </w:r>
      <w:r>
        <w:rPr>
          <w:rFonts w:hint="eastAsia" w:asciiTheme="minorEastAsia" w:hAnsiTheme="minorEastAsia" w:eastAsiaTheme="minorEastAsia" w:cstheme="minorEastAsia"/>
          <w:kern w:val="0"/>
          <w:sz w:val="24"/>
          <w:szCs w:val="24"/>
        </w:rPr>
        <w:t>院（部）</w:t>
      </w:r>
      <w:r>
        <w:rPr>
          <w:rFonts w:hint="eastAsia" w:asciiTheme="minorEastAsia" w:hAnsiTheme="minorEastAsia" w:eastAsiaTheme="minorEastAsia" w:cstheme="minorEastAsia"/>
          <w:sz w:val="24"/>
          <w:szCs w:val="24"/>
        </w:rPr>
        <w:t>专任教师年度考核；上报考核档次建议给人事处。</w:t>
      </w:r>
    </w:p>
    <w:p w14:paraId="03FFEFB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8" w:name="_Toc14282"/>
      <w:bookmarkStart w:id="9" w:name="_Toc26255"/>
      <w:r>
        <w:rPr>
          <w:rFonts w:hint="eastAsia" w:asciiTheme="minorEastAsia" w:hAnsiTheme="minorEastAsia" w:eastAsiaTheme="minorEastAsia" w:cstheme="minorEastAsia"/>
          <w:b/>
          <w:bCs/>
          <w:kern w:val="0"/>
          <w:sz w:val="24"/>
          <w:szCs w:val="24"/>
        </w:rPr>
        <w:t>第三章  考核指标体系</w:t>
      </w:r>
      <w:bookmarkEnd w:id="8"/>
      <w:bookmarkEnd w:id="9"/>
    </w:p>
    <w:p w14:paraId="0BF236D4">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第六条</w:t>
      </w:r>
      <w:r>
        <w:rPr>
          <w:rFonts w:hint="eastAsia" w:asciiTheme="minorEastAsia" w:hAnsiTheme="minorEastAsia" w:eastAsiaTheme="minorEastAsia" w:cstheme="minorEastAsia"/>
          <w:kern w:val="0"/>
          <w:sz w:val="24"/>
          <w:szCs w:val="24"/>
        </w:rPr>
        <w:t xml:space="preserve">  教师岗位考核（年度考核及聘期考核）基本指标：</w:t>
      </w:r>
    </w:p>
    <w:p w14:paraId="225ACD2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（一）恪守教师职业道德规范和教师学术道德规范，师德师风年度考核合格及以上等次。</w:t>
      </w:r>
    </w:p>
    <w:p w14:paraId="74D081B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（二）结合本专业教学科研工作实际需要，参加新理论、新技术和新方法为主要内容的继续教育，并完成各年度继续教育任务。</w:t>
      </w:r>
    </w:p>
    <w:p w14:paraId="0A45A499">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（三）根据学校教师参加专业实践管理相关制度要求，参加专业实践工作。</w:t>
      </w:r>
    </w:p>
    <w:p w14:paraId="53ECE173">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第七条</w:t>
      </w:r>
      <w:r>
        <w:rPr>
          <w:rFonts w:hint="eastAsia" w:asciiTheme="minorEastAsia" w:hAnsiTheme="minorEastAsia" w:eastAsiaTheme="minorEastAsia" w:cstheme="minorEastAsia"/>
          <w:kern w:val="0"/>
          <w:sz w:val="24"/>
          <w:szCs w:val="24"/>
        </w:rPr>
        <w:t xml:space="preserve">  教师岗位考核量化指标由教育教学指标、业绩成果指标和公共服务指标组成，具体包括：</w:t>
      </w:r>
    </w:p>
    <w:p w14:paraId="242378D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（一）教育教学指标：按照《专业人才培养方案》的教学计划安排，教师为完成教学任务而直接面对学生的各项教育教学活动。教师的教学工作量</w:t>
      </w:r>
      <w:r>
        <w:rPr>
          <w:rFonts w:hint="eastAsia" w:asciiTheme="minorEastAsia" w:hAnsiTheme="minorEastAsia" w:eastAsiaTheme="minorEastAsia" w:cstheme="minorEastAsia"/>
          <w:sz w:val="24"/>
          <w:szCs w:val="24"/>
        </w:rPr>
        <w:t>以《教学任务书》为依据，</w:t>
      </w:r>
      <w:r>
        <w:rPr>
          <w:rFonts w:hint="eastAsia" w:asciiTheme="minorEastAsia" w:hAnsiTheme="minorEastAsia" w:eastAsiaTheme="minorEastAsia" w:cstheme="minorEastAsia"/>
          <w:kern w:val="0"/>
          <w:sz w:val="24"/>
          <w:szCs w:val="24"/>
        </w:rPr>
        <w:t>由教务处组织核定。</w:t>
      </w:r>
    </w:p>
    <w:p w14:paraId="7BE7627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业绩成果指标：教师在年度（聘期）中，在创新强校、质量工程、提质培优和双高建设等工作中开展的专业（群）建设、课程建设、教学资源建设和师资队伍建设等项目；教研教改项目；科研工作（包括参与科研项目、论文、科研成果获奖、专利等）；参加各类竞赛；指导学生参加竞赛、开展各类项目申报等专业技术工作业绩。具体由各</w:t>
      </w:r>
      <w:r>
        <w:rPr>
          <w:rFonts w:hint="eastAsia" w:asciiTheme="minorEastAsia" w:hAnsiTheme="minorEastAsia" w:eastAsiaTheme="minorEastAsia" w:cstheme="minorEastAsia"/>
          <w:sz w:val="24"/>
          <w:szCs w:val="24"/>
        </w:rPr>
        <w:t>业务主管职能部门</w:t>
      </w:r>
      <w:r>
        <w:rPr>
          <w:rFonts w:hint="eastAsia" w:asciiTheme="minorEastAsia" w:hAnsiTheme="minorEastAsia" w:eastAsiaTheme="minorEastAsia" w:cstheme="minorEastAsia"/>
          <w:kern w:val="0"/>
          <w:sz w:val="24"/>
          <w:szCs w:val="24"/>
        </w:rPr>
        <w:t>参照《教师岗位考核业绩成果计分表》（附件1-1，附件1-2）、《教师考核业绩计分说明》（附件2）进行核算。</w:t>
      </w:r>
    </w:p>
    <w:p w14:paraId="0BF46355">
      <w:pPr>
        <w:keepNext w:val="0"/>
        <w:keepLines w:val="0"/>
        <w:pageBreakBefore w:val="0"/>
        <w:widowControl/>
        <w:kinsoku/>
        <w:wordWrap/>
        <w:overflowPunct/>
        <w:topLinePunct w:val="0"/>
        <w:autoSpaceDE/>
        <w:autoSpaceDN/>
        <w:bidi w:val="0"/>
        <w:snapToGrid w:val="0"/>
        <w:spacing w:line="440" w:lineRule="exact"/>
        <w:ind w:firstLine="480" w:firstLineChars="200"/>
        <w:textAlignment w:val="baseline"/>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（三）公共服务指标：围绕学校发展目标所开展的相关公共服务工作。具体由</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kern w:val="0"/>
          <w:sz w:val="24"/>
          <w:szCs w:val="24"/>
        </w:rPr>
        <w:t>院（部）参照《教师公共服务工作量学时测算参考表》（附件3）进行核算。</w:t>
      </w:r>
    </w:p>
    <w:p w14:paraId="73EB5797">
      <w:pPr>
        <w:keepNext w:val="0"/>
        <w:keepLines w:val="0"/>
        <w:pageBreakBefore w:val="0"/>
        <w:widowControl/>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第八条</w:t>
      </w:r>
      <w:r>
        <w:rPr>
          <w:rFonts w:hint="eastAsia" w:asciiTheme="minorEastAsia" w:hAnsiTheme="minorEastAsia" w:eastAsiaTheme="minorEastAsia" w:cstheme="minorEastAsia"/>
          <w:kern w:val="0"/>
          <w:sz w:val="24"/>
          <w:szCs w:val="24"/>
        </w:rPr>
        <w:t xml:space="preserve">  教师可根据年度聘期工作情况自行申报按照教学型或者教学科研型教师岗位基准考核。</w:t>
      </w:r>
    </w:p>
    <w:p w14:paraId="2AF26AC0">
      <w:pPr>
        <w:keepNext w:val="0"/>
        <w:keepLines w:val="0"/>
        <w:pageBreakBefore w:val="0"/>
        <w:widowControl/>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第九条</w:t>
      </w:r>
      <w:r>
        <w:rPr>
          <w:rFonts w:hint="eastAsia" w:asciiTheme="minorEastAsia" w:hAnsiTheme="minorEastAsia" w:eastAsiaTheme="minorEastAsia" w:cstheme="minorEastAsia"/>
          <w:kern w:val="0"/>
          <w:sz w:val="24"/>
          <w:szCs w:val="24"/>
        </w:rPr>
        <w:t xml:space="preserve">  教师岗位量化考核基准</w:t>
      </w:r>
    </w:p>
    <w:p w14:paraId="384F4D4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（一）教育教学工作基准：</w:t>
      </w:r>
    </w:p>
    <w:p w14:paraId="1D79872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教学型教师岗位年度基准教学工作量432学时，教学科研型教师岗位年度基准教学工作量360学时；聘期基准教学工作量=年度教学工作量×对应聘期；专业群负责人按照上述基准工作量的60%计算；教研室主任（实训室主任）按照上述基准工作量的80%计算。</w:t>
      </w:r>
    </w:p>
    <w:p w14:paraId="3DDAC764">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2．年度基准授课门数为2门（心理教育与教学部教师年度基准授课门数为1门）。</w:t>
      </w:r>
    </w:p>
    <w:p w14:paraId="0A6F8B9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3．教学质量评价基准分数75分。</w:t>
      </w:r>
    </w:p>
    <w:p w14:paraId="253D9AA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（二）业绩成果基准：聘期基准业绩成果分数=年度基准业绩成果分数×对应聘期。年度基准业绩成果分数要求如下：</w:t>
      </w:r>
    </w:p>
    <w:p w14:paraId="7BB936D9">
      <w:pPr>
        <w:keepNext w:val="0"/>
        <w:keepLines w:val="0"/>
        <w:pageBreakBefore w:val="0"/>
        <w:kinsoku/>
        <w:wordWrap/>
        <w:overflowPunct/>
        <w:topLinePunct w:val="0"/>
        <w:autoSpaceDE/>
        <w:autoSpaceDN/>
        <w:bidi w:val="0"/>
        <w:spacing w:line="440" w:lineRule="exact"/>
        <w:ind w:firstLine="960" w:firstLineChars="4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表1   年度基准业绩成果分数要求一览表</w:t>
      </w:r>
    </w:p>
    <w:tbl>
      <w:tblPr>
        <w:tblStyle w:val="4"/>
        <w:tblW w:w="8505" w:type="dxa"/>
        <w:jc w:val="center"/>
        <w:tblLayout w:type="fixed"/>
        <w:tblCellMar>
          <w:top w:w="0" w:type="dxa"/>
          <w:left w:w="108" w:type="dxa"/>
          <w:bottom w:w="0" w:type="dxa"/>
          <w:right w:w="108" w:type="dxa"/>
        </w:tblCellMar>
      </w:tblPr>
      <w:tblGrid>
        <w:gridCol w:w="1674"/>
        <w:gridCol w:w="3119"/>
        <w:gridCol w:w="1691"/>
        <w:gridCol w:w="2021"/>
      </w:tblGrid>
      <w:tr w14:paraId="4BE815DA">
        <w:tblPrEx>
          <w:tblCellMar>
            <w:top w:w="0" w:type="dxa"/>
            <w:left w:w="108" w:type="dxa"/>
            <w:bottom w:w="0" w:type="dxa"/>
            <w:right w:w="108" w:type="dxa"/>
          </w:tblCellMar>
        </w:tblPrEx>
        <w:trPr>
          <w:trHeight w:val="405" w:hRule="atLeast"/>
          <w:jc w:val="center"/>
        </w:trPr>
        <w:tc>
          <w:tcPr>
            <w:tcW w:w="1674" w:type="dxa"/>
            <w:tcBorders>
              <w:top w:val="single" w:color="auto" w:sz="4" w:space="0"/>
              <w:left w:val="single" w:color="auto" w:sz="4" w:space="0"/>
              <w:bottom w:val="single" w:color="auto" w:sz="4" w:space="0"/>
              <w:right w:val="single" w:color="auto" w:sz="4" w:space="0"/>
            </w:tcBorders>
            <w:noWrap/>
            <w:vAlign w:val="center"/>
          </w:tcPr>
          <w:p w14:paraId="02DDBDBC">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教师岗位</w:t>
            </w:r>
          </w:p>
          <w:p w14:paraId="527FF897">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名称</w:t>
            </w:r>
          </w:p>
        </w:tc>
        <w:tc>
          <w:tcPr>
            <w:tcW w:w="3119" w:type="dxa"/>
            <w:tcBorders>
              <w:top w:val="single" w:color="auto" w:sz="4" w:space="0"/>
              <w:left w:val="nil"/>
              <w:bottom w:val="single" w:color="auto" w:sz="4" w:space="0"/>
              <w:right w:val="single" w:color="auto" w:sz="4" w:space="0"/>
            </w:tcBorders>
            <w:noWrap/>
            <w:vAlign w:val="center"/>
          </w:tcPr>
          <w:p w14:paraId="3E8A50B7">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教师岗位类别与等级</w:t>
            </w:r>
          </w:p>
        </w:tc>
        <w:tc>
          <w:tcPr>
            <w:tcW w:w="1691" w:type="dxa"/>
            <w:tcBorders>
              <w:top w:val="single" w:color="auto" w:sz="4" w:space="0"/>
              <w:left w:val="nil"/>
              <w:bottom w:val="single" w:color="auto" w:sz="4" w:space="0"/>
              <w:right w:val="single" w:color="auto" w:sz="4" w:space="0"/>
            </w:tcBorders>
            <w:noWrap/>
            <w:vAlign w:val="center"/>
          </w:tcPr>
          <w:p w14:paraId="2795F925">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教学型教师岗位</w:t>
            </w:r>
          </w:p>
        </w:tc>
        <w:tc>
          <w:tcPr>
            <w:tcW w:w="2021" w:type="dxa"/>
            <w:tcBorders>
              <w:top w:val="single" w:color="auto" w:sz="4" w:space="0"/>
              <w:left w:val="nil"/>
              <w:bottom w:val="single" w:color="auto" w:sz="4" w:space="0"/>
              <w:right w:val="single" w:color="auto" w:sz="4" w:space="0"/>
            </w:tcBorders>
            <w:noWrap/>
            <w:vAlign w:val="center"/>
          </w:tcPr>
          <w:p w14:paraId="32AD7704">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教学科研型教师岗位</w:t>
            </w:r>
          </w:p>
        </w:tc>
      </w:tr>
      <w:tr w14:paraId="0EE94836">
        <w:tblPrEx>
          <w:tblCellMar>
            <w:top w:w="0" w:type="dxa"/>
            <w:left w:w="108" w:type="dxa"/>
            <w:bottom w:w="0" w:type="dxa"/>
            <w:right w:w="108" w:type="dxa"/>
          </w:tblCellMar>
        </w:tblPrEx>
        <w:trPr>
          <w:trHeight w:val="405" w:hRule="atLeast"/>
          <w:jc w:val="center"/>
        </w:trPr>
        <w:tc>
          <w:tcPr>
            <w:tcW w:w="1674" w:type="dxa"/>
            <w:vMerge w:val="restart"/>
            <w:tcBorders>
              <w:top w:val="nil"/>
              <w:left w:val="single" w:color="auto" w:sz="4" w:space="0"/>
              <w:bottom w:val="single" w:color="000000" w:sz="4" w:space="0"/>
              <w:right w:val="single" w:color="auto" w:sz="4" w:space="0"/>
            </w:tcBorders>
            <w:noWrap/>
            <w:vAlign w:val="center"/>
          </w:tcPr>
          <w:p w14:paraId="66FA0904">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教授</w:t>
            </w:r>
          </w:p>
        </w:tc>
        <w:tc>
          <w:tcPr>
            <w:tcW w:w="3119" w:type="dxa"/>
            <w:tcBorders>
              <w:top w:val="nil"/>
              <w:left w:val="nil"/>
              <w:bottom w:val="single" w:color="auto" w:sz="4" w:space="0"/>
              <w:right w:val="single" w:color="auto" w:sz="4" w:space="0"/>
            </w:tcBorders>
            <w:noWrap/>
            <w:vAlign w:val="center"/>
          </w:tcPr>
          <w:p w14:paraId="7C7BFABE">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3 级岗</w:t>
            </w:r>
          </w:p>
        </w:tc>
        <w:tc>
          <w:tcPr>
            <w:tcW w:w="1691" w:type="dxa"/>
            <w:tcBorders>
              <w:top w:val="nil"/>
              <w:left w:val="nil"/>
              <w:bottom w:val="single" w:color="auto" w:sz="4" w:space="0"/>
              <w:right w:val="single" w:color="auto" w:sz="4" w:space="0"/>
            </w:tcBorders>
            <w:vAlign w:val="center"/>
          </w:tcPr>
          <w:p w14:paraId="437877E1">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2021" w:type="dxa"/>
            <w:tcBorders>
              <w:top w:val="nil"/>
              <w:left w:val="nil"/>
              <w:bottom w:val="single" w:color="auto" w:sz="4" w:space="0"/>
              <w:right w:val="single" w:color="auto" w:sz="4" w:space="0"/>
            </w:tcBorders>
            <w:vAlign w:val="center"/>
          </w:tcPr>
          <w:p w14:paraId="4F36CDD7">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r>
      <w:tr w14:paraId="219396A1">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7CA019DC">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05CD08C9">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4 级岗</w:t>
            </w:r>
          </w:p>
        </w:tc>
        <w:tc>
          <w:tcPr>
            <w:tcW w:w="1691" w:type="dxa"/>
            <w:tcBorders>
              <w:top w:val="nil"/>
              <w:left w:val="nil"/>
              <w:bottom w:val="single" w:color="auto" w:sz="4" w:space="0"/>
              <w:right w:val="single" w:color="auto" w:sz="4" w:space="0"/>
            </w:tcBorders>
            <w:vAlign w:val="center"/>
          </w:tcPr>
          <w:p w14:paraId="131A9BE6">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2021" w:type="dxa"/>
            <w:tcBorders>
              <w:top w:val="nil"/>
              <w:left w:val="nil"/>
              <w:bottom w:val="single" w:color="auto" w:sz="4" w:space="0"/>
              <w:right w:val="single" w:color="auto" w:sz="4" w:space="0"/>
            </w:tcBorders>
            <w:vAlign w:val="center"/>
          </w:tcPr>
          <w:p w14:paraId="1A96637C">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r>
      <w:tr w14:paraId="6DD58DE6">
        <w:tblPrEx>
          <w:tblCellMar>
            <w:top w:w="0" w:type="dxa"/>
            <w:left w:w="108" w:type="dxa"/>
            <w:bottom w:w="0" w:type="dxa"/>
            <w:right w:w="108" w:type="dxa"/>
          </w:tblCellMar>
        </w:tblPrEx>
        <w:trPr>
          <w:trHeight w:val="405" w:hRule="atLeast"/>
          <w:jc w:val="center"/>
        </w:trPr>
        <w:tc>
          <w:tcPr>
            <w:tcW w:w="1674" w:type="dxa"/>
            <w:vMerge w:val="restart"/>
            <w:tcBorders>
              <w:top w:val="nil"/>
              <w:left w:val="single" w:color="auto" w:sz="4" w:space="0"/>
              <w:bottom w:val="single" w:color="000000" w:sz="4" w:space="0"/>
              <w:right w:val="single" w:color="auto" w:sz="4" w:space="0"/>
            </w:tcBorders>
            <w:noWrap/>
            <w:vAlign w:val="center"/>
          </w:tcPr>
          <w:p w14:paraId="687AB6A5">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副教授</w:t>
            </w:r>
          </w:p>
        </w:tc>
        <w:tc>
          <w:tcPr>
            <w:tcW w:w="3119" w:type="dxa"/>
            <w:tcBorders>
              <w:top w:val="nil"/>
              <w:left w:val="nil"/>
              <w:bottom w:val="single" w:color="auto" w:sz="4" w:space="0"/>
              <w:right w:val="single" w:color="auto" w:sz="4" w:space="0"/>
            </w:tcBorders>
            <w:noWrap/>
            <w:vAlign w:val="center"/>
          </w:tcPr>
          <w:p w14:paraId="0A6CE6B0">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5 级岗</w:t>
            </w:r>
          </w:p>
        </w:tc>
        <w:tc>
          <w:tcPr>
            <w:tcW w:w="1691" w:type="dxa"/>
            <w:tcBorders>
              <w:top w:val="nil"/>
              <w:left w:val="nil"/>
              <w:bottom w:val="single" w:color="auto" w:sz="4" w:space="0"/>
              <w:right w:val="single" w:color="auto" w:sz="4" w:space="0"/>
            </w:tcBorders>
            <w:vAlign w:val="center"/>
          </w:tcPr>
          <w:p w14:paraId="08DF2B6D">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2021" w:type="dxa"/>
            <w:tcBorders>
              <w:top w:val="nil"/>
              <w:left w:val="nil"/>
              <w:bottom w:val="single" w:color="auto" w:sz="4" w:space="0"/>
              <w:right w:val="single" w:color="auto" w:sz="4" w:space="0"/>
            </w:tcBorders>
            <w:vAlign w:val="center"/>
          </w:tcPr>
          <w:p w14:paraId="139951A9">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r>
      <w:tr w14:paraId="041A651E">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45181230">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2C838927">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6 级岗</w:t>
            </w:r>
          </w:p>
        </w:tc>
        <w:tc>
          <w:tcPr>
            <w:tcW w:w="1691" w:type="dxa"/>
            <w:tcBorders>
              <w:top w:val="nil"/>
              <w:left w:val="nil"/>
              <w:bottom w:val="single" w:color="auto" w:sz="4" w:space="0"/>
              <w:right w:val="single" w:color="auto" w:sz="4" w:space="0"/>
            </w:tcBorders>
            <w:vAlign w:val="center"/>
          </w:tcPr>
          <w:p w14:paraId="1BE9EB00">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2021" w:type="dxa"/>
            <w:tcBorders>
              <w:top w:val="nil"/>
              <w:left w:val="nil"/>
              <w:bottom w:val="single" w:color="auto" w:sz="4" w:space="0"/>
              <w:right w:val="single" w:color="auto" w:sz="4" w:space="0"/>
            </w:tcBorders>
            <w:vAlign w:val="center"/>
          </w:tcPr>
          <w:p w14:paraId="74E3299B">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r>
      <w:tr w14:paraId="0BD8015D">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075AB812">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4C481D42">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7 级岗</w:t>
            </w:r>
          </w:p>
        </w:tc>
        <w:tc>
          <w:tcPr>
            <w:tcW w:w="1691" w:type="dxa"/>
            <w:tcBorders>
              <w:top w:val="nil"/>
              <w:left w:val="nil"/>
              <w:bottom w:val="single" w:color="auto" w:sz="4" w:space="0"/>
              <w:right w:val="single" w:color="auto" w:sz="4" w:space="0"/>
            </w:tcBorders>
            <w:vAlign w:val="center"/>
          </w:tcPr>
          <w:p w14:paraId="11D1CBE9">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2021" w:type="dxa"/>
            <w:tcBorders>
              <w:top w:val="nil"/>
              <w:left w:val="nil"/>
              <w:bottom w:val="single" w:color="auto" w:sz="4" w:space="0"/>
              <w:right w:val="single" w:color="auto" w:sz="4" w:space="0"/>
            </w:tcBorders>
            <w:vAlign w:val="center"/>
          </w:tcPr>
          <w:p w14:paraId="26B005BE">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r>
      <w:tr w14:paraId="1780AE1B">
        <w:tblPrEx>
          <w:tblCellMar>
            <w:top w:w="0" w:type="dxa"/>
            <w:left w:w="108" w:type="dxa"/>
            <w:bottom w:w="0" w:type="dxa"/>
            <w:right w:w="108" w:type="dxa"/>
          </w:tblCellMar>
        </w:tblPrEx>
        <w:trPr>
          <w:trHeight w:val="405" w:hRule="atLeast"/>
          <w:jc w:val="center"/>
        </w:trPr>
        <w:tc>
          <w:tcPr>
            <w:tcW w:w="1674" w:type="dxa"/>
            <w:vMerge w:val="restart"/>
            <w:tcBorders>
              <w:top w:val="nil"/>
              <w:left w:val="single" w:color="auto" w:sz="4" w:space="0"/>
              <w:bottom w:val="single" w:color="000000" w:sz="4" w:space="0"/>
              <w:right w:val="single" w:color="auto" w:sz="4" w:space="0"/>
            </w:tcBorders>
            <w:noWrap/>
            <w:vAlign w:val="center"/>
          </w:tcPr>
          <w:p w14:paraId="47898B19">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讲师</w:t>
            </w:r>
          </w:p>
        </w:tc>
        <w:tc>
          <w:tcPr>
            <w:tcW w:w="3119" w:type="dxa"/>
            <w:tcBorders>
              <w:top w:val="nil"/>
              <w:left w:val="nil"/>
              <w:bottom w:val="single" w:color="auto" w:sz="4" w:space="0"/>
              <w:right w:val="single" w:color="auto" w:sz="4" w:space="0"/>
            </w:tcBorders>
            <w:noWrap/>
            <w:vAlign w:val="center"/>
          </w:tcPr>
          <w:p w14:paraId="6708E12A">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8 级岗</w:t>
            </w:r>
          </w:p>
        </w:tc>
        <w:tc>
          <w:tcPr>
            <w:tcW w:w="1691" w:type="dxa"/>
            <w:tcBorders>
              <w:top w:val="nil"/>
              <w:left w:val="nil"/>
              <w:bottom w:val="single" w:color="auto" w:sz="4" w:space="0"/>
              <w:right w:val="single" w:color="auto" w:sz="4" w:space="0"/>
            </w:tcBorders>
            <w:vAlign w:val="center"/>
          </w:tcPr>
          <w:p w14:paraId="4FB6EC69">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2021" w:type="dxa"/>
            <w:tcBorders>
              <w:top w:val="nil"/>
              <w:left w:val="nil"/>
              <w:bottom w:val="single" w:color="auto" w:sz="4" w:space="0"/>
              <w:right w:val="single" w:color="auto" w:sz="4" w:space="0"/>
            </w:tcBorders>
            <w:vAlign w:val="center"/>
          </w:tcPr>
          <w:p w14:paraId="4B54C8C5">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r>
      <w:tr w14:paraId="4676EE8A">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16B4F0A6">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3D860070">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9 级岗</w:t>
            </w:r>
          </w:p>
        </w:tc>
        <w:tc>
          <w:tcPr>
            <w:tcW w:w="1691" w:type="dxa"/>
            <w:tcBorders>
              <w:top w:val="nil"/>
              <w:left w:val="nil"/>
              <w:bottom w:val="single" w:color="auto" w:sz="4" w:space="0"/>
              <w:right w:val="single" w:color="auto" w:sz="4" w:space="0"/>
            </w:tcBorders>
            <w:vAlign w:val="center"/>
          </w:tcPr>
          <w:p w14:paraId="2F6A3E4E">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2021" w:type="dxa"/>
            <w:tcBorders>
              <w:top w:val="nil"/>
              <w:left w:val="nil"/>
              <w:bottom w:val="single" w:color="auto" w:sz="4" w:space="0"/>
              <w:right w:val="single" w:color="auto" w:sz="4" w:space="0"/>
            </w:tcBorders>
            <w:vAlign w:val="center"/>
          </w:tcPr>
          <w:p w14:paraId="351FD2D2">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14:paraId="748B8222">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4D50D22E">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25E81C3B">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10 级岗</w:t>
            </w:r>
          </w:p>
        </w:tc>
        <w:tc>
          <w:tcPr>
            <w:tcW w:w="1691" w:type="dxa"/>
            <w:tcBorders>
              <w:top w:val="nil"/>
              <w:left w:val="nil"/>
              <w:bottom w:val="single" w:color="auto" w:sz="4" w:space="0"/>
              <w:right w:val="single" w:color="auto" w:sz="4" w:space="0"/>
            </w:tcBorders>
            <w:vAlign w:val="center"/>
          </w:tcPr>
          <w:p w14:paraId="0F921C4F">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021" w:type="dxa"/>
            <w:tcBorders>
              <w:top w:val="nil"/>
              <w:left w:val="nil"/>
              <w:bottom w:val="single" w:color="auto" w:sz="4" w:space="0"/>
              <w:right w:val="single" w:color="auto" w:sz="4" w:space="0"/>
            </w:tcBorders>
            <w:vAlign w:val="center"/>
          </w:tcPr>
          <w:p w14:paraId="729E3884">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r>
      <w:tr w14:paraId="53B8E4C2">
        <w:tblPrEx>
          <w:tblCellMar>
            <w:top w:w="0" w:type="dxa"/>
            <w:left w:w="108" w:type="dxa"/>
            <w:bottom w:w="0" w:type="dxa"/>
            <w:right w:w="108" w:type="dxa"/>
          </w:tblCellMar>
        </w:tblPrEx>
        <w:trPr>
          <w:trHeight w:val="405" w:hRule="atLeast"/>
          <w:jc w:val="center"/>
        </w:trPr>
        <w:tc>
          <w:tcPr>
            <w:tcW w:w="1674" w:type="dxa"/>
            <w:vMerge w:val="restart"/>
            <w:tcBorders>
              <w:top w:val="nil"/>
              <w:left w:val="single" w:color="auto" w:sz="4" w:space="0"/>
              <w:bottom w:val="single" w:color="000000" w:sz="4" w:space="0"/>
              <w:right w:val="single" w:color="auto" w:sz="4" w:space="0"/>
            </w:tcBorders>
            <w:noWrap/>
            <w:vAlign w:val="center"/>
          </w:tcPr>
          <w:p w14:paraId="2468832A">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助教</w:t>
            </w:r>
          </w:p>
        </w:tc>
        <w:tc>
          <w:tcPr>
            <w:tcW w:w="3119" w:type="dxa"/>
            <w:tcBorders>
              <w:top w:val="nil"/>
              <w:left w:val="nil"/>
              <w:bottom w:val="single" w:color="auto" w:sz="4" w:space="0"/>
              <w:right w:val="single" w:color="auto" w:sz="4" w:space="0"/>
            </w:tcBorders>
            <w:noWrap/>
            <w:vAlign w:val="center"/>
          </w:tcPr>
          <w:p w14:paraId="6F5E096D">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11 级岗</w:t>
            </w:r>
          </w:p>
        </w:tc>
        <w:tc>
          <w:tcPr>
            <w:tcW w:w="1691" w:type="dxa"/>
            <w:tcBorders>
              <w:top w:val="nil"/>
              <w:left w:val="nil"/>
              <w:bottom w:val="single" w:color="auto" w:sz="4" w:space="0"/>
              <w:right w:val="single" w:color="auto" w:sz="4" w:space="0"/>
            </w:tcBorders>
            <w:vAlign w:val="center"/>
          </w:tcPr>
          <w:p w14:paraId="64E5E52A">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2021" w:type="dxa"/>
            <w:tcBorders>
              <w:top w:val="nil"/>
              <w:left w:val="nil"/>
              <w:bottom w:val="single" w:color="auto" w:sz="4" w:space="0"/>
              <w:right w:val="single" w:color="auto" w:sz="4" w:space="0"/>
            </w:tcBorders>
            <w:vAlign w:val="center"/>
          </w:tcPr>
          <w:p w14:paraId="2405D29B">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r>
      <w:tr w14:paraId="05BAC40B">
        <w:tblPrEx>
          <w:tblCellMar>
            <w:top w:w="0" w:type="dxa"/>
            <w:left w:w="108" w:type="dxa"/>
            <w:bottom w:w="0" w:type="dxa"/>
            <w:right w:w="108" w:type="dxa"/>
          </w:tblCellMar>
        </w:tblPrEx>
        <w:trPr>
          <w:trHeight w:val="405" w:hRule="atLeast"/>
          <w:jc w:val="center"/>
        </w:trPr>
        <w:tc>
          <w:tcPr>
            <w:tcW w:w="1674" w:type="dxa"/>
            <w:vMerge w:val="continue"/>
            <w:tcBorders>
              <w:top w:val="nil"/>
              <w:left w:val="single" w:color="auto" w:sz="4" w:space="0"/>
              <w:bottom w:val="single" w:color="000000" w:sz="4" w:space="0"/>
              <w:right w:val="single" w:color="auto" w:sz="4" w:space="0"/>
            </w:tcBorders>
            <w:vAlign w:val="center"/>
          </w:tcPr>
          <w:p w14:paraId="1845BE85">
            <w:pPr>
              <w:keepNext w:val="0"/>
              <w:keepLines w:val="0"/>
              <w:pageBreakBefore w:val="0"/>
              <w:widowControl/>
              <w:kinsoku/>
              <w:wordWrap/>
              <w:overflowPunct/>
              <w:topLinePunct w:val="0"/>
              <w:autoSpaceDE/>
              <w:autoSpaceDN/>
              <w:bidi w:val="0"/>
              <w:spacing w:line="440" w:lineRule="exact"/>
              <w:jc w:val="left"/>
              <w:outlineLvl w:val="1"/>
              <w:rPr>
                <w:rFonts w:hint="eastAsia" w:asciiTheme="minorEastAsia" w:hAnsiTheme="minorEastAsia" w:eastAsiaTheme="minorEastAsia" w:cstheme="minorEastAsia"/>
                <w:kern w:val="0"/>
                <w:sz w:val="24"/>
                <w:szCs w:val="24"/>
              </w:rPr>
            </w:pPr>
          </w:p>
        </w:tc>
        <w:tc>
          <w:tcPr>
            <w:tcW w:w="3119" w:type="dxa"/>
            <w:tcBorders>
              <w:top w:val="nil"/>
              <w:left w:val="nil"/>
              <w:bottom w:val="single" w:color="auto" w:sz="4" w:space="0"/>
              <w:right w:val="single" w:color="auto" w:sz="4" w:space="0"/>
            </w:tcBorders>
            <w:noWrap/>
            <w:vAlign w:val="center"/>
          </w:tcPr>
          <w:p w14:paraId="4FA51D59">
            <w:pPr>
              <w:keepNext w:val="0"/>
              <w:keepLines w:val="0"/>
              <w:pageBreakBefore w:val="0"/>
              <w:widowControl/>
              <w:kinsoku/>
              <w:wordWrap/>
              <w:overflowPunct/>
              <w:topLinePunct w:val="0"/>
              <w:autoSpaceDE/>
              <w:autoSpaceDN/>
              <w:bidi w:val="0"/>
              <w:spacing w:line="440" w:lineRule="exac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专业技术 12 级岗</w:t>
            </w:r>
          </w:p>
        </w:tc>
        <w:tc>
          <w:tcPr>
            <w:tcW w:w="1691" w:type="dxa"/>
            <w:tcBorders>
              <w:top w:val="nil"/>
              <w:left w:val="nil"/>
              <w:bottom w:val="single" w:color="auto" w:sz="4" w:space="0"/>
              <w:right w:val="single" w:color="auto" w:sz="4" w:space="0"/>
            </w:tcBorders>
            <w:vAlign w:val="center"/>
          </w:tcPr>
          <w:p w14:paraId="5D5D2133">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2021" w:type="dxa"/>
            <w:tcBorders>
              <w:top w:val="nil"/>
              <w:left w:val="nil"/>
              <w:bottom w:val="single" w:color="auto" w:sz="4" w:space="0"/>
              <w:right w:val="single" w:color="auto" w:sz="4" w:space="0"/>
            </w:tcBorders>
            <w:vAlign w:val="center"/>
          </w:tcPr>
          <w:p w14:paraId="4D68F8AC">
            <w:pPr>
              <w:keepNext w:val="0"/>
              <w:keepLines w:val="0"/>
              <w:pageBreakBefore w:val="0"/>
              <w:widowControl/>
              <w:kinsoku/>
              <w:wordWrap/>
              <w:overflowPunct/>
              <w:topLinePunct w:val="0"/>
              <w:autoSpaceDE/>
              <w:autoSpaceDN/>
              <w:bidi w:val="0"/>
              <w:spacing w:line="440" w:lineRule="exact"/>
              <w:jc w:val="center"/>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bl>
    <w:p w14:paraId="7A57F14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（三）公共服务工作基准：年度基准公共服务工作学时为80学时；聘期基准公共服务工作学时=年度公共服务工作基准学时×对应聘期。</w:t>
      </w:r>
    </w:p>
    <w:p w14:paraId="381B2448">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第十条</w:t>
      </w:r>
      <w:r>
        <w:rPr>
          <w:rFonts w:hint="eastAsia" w:asciiTheme="minorEastAsia" w:hAnsiTheme="minorEastAsia" w:eastAsiaTheme="minorEastAsia" w:cstheme="minorEastAsia"/>
          <w:kern w:val="0"/>
          <w:sz w:val="24"/>
          <w:szCs w:val="24"/>
        </w:rPr>
        <w:t xml:space="preserve">  超过考核基准得分计算</w:t>
      </w:r>
    </w:p>
    <w:p w14:paraId="115722A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outlineLvl w:val="1"/>
        <w:rPr>
          <w:rStyle w:val="7"/>
          <w:rFonts w:hint="eastAsia" w:asciiTheme="minorEastAsia" w:hAnsiTheme="minorEastAsia" w:eastAsiaTheme="minorEastAsia" w:cstheme="minorEastAsia"/>
          <w:kern w:val="0"/>
          <w:sz w:val="24"/>
          <w:szCs w:val="24"/>
        </w:rPr>
      </w:pPr>
      <w:bookmarkStart w:id="10" w:name="_Toc24408"/>
      <w:bookmarkStart w:id="11" w:name="_Toc12168"/>
      <w:r>
        <w:rPr>
          <w:rFonts w:hint="eastAsia" w:asciiTheme="minorEastAsia" w:hAnsiTheme="minorEastAsia" w:eastAsiaTheme="minorEastAsia" w:cstheme="minorEastAsia"/>
          <w:kern w:val="0"/>
          <w:sz w:val="24"/>
          <w:szCs w:val="24"/>
        </w:rPr>
        <w:t>各教学部门可根据实际情况制定本部门教师超过考核基准得分计算细则。</w:t>
      </w:r>
      <w:bookmarkEnd w:id="10"/>
      <w:bookmarkEnd w:id="11"/>
    </w:p>
    <w:p w14:paraId="7019613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2" w:name="_Toc368"/>
      <w:bookmarkStart w:id="13" w:name="_Toc15054"/>
      <w:r>
        <w:rPr>
          <w:rFonts w:hint="eastAsia" w:asciiTheme="minorEastAsia" w:hAnsiTheme="minorEastAsia" w:eastAsiaTheme="minorEastAsia" w:cstheme="minorEastAsia"/>
          <w:b/>
          <w:bCs/>
          <w:kern w:val="0"/>
          <w:sz w:val="24"/>
          <w:szCs w:val="24"/>
        </w:rPr>
        <w:t>第四章  考核程序</w:t>
      </w:r>
      <w:bookmarkEnd w:id="12"/>
      <w:bookmarkEnd w:id="13"/>
    </w:p>
    <w:p w14:paraId="2F173F93">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第十一条</w:t>
      </w:r>
      <w:r>
        <w:rPr>
          <w:rFonts w:hint="eastAsia" w:asciiTheme="minorEastAsia" w:hAnsiTheme="minorEastAsia" w:eastAsiaTheme="minorEastAsia" w:cstheme="minorEastAsia"/>
          <w:kern w:val="0"/>
          <w:sz w:val="24"/>
          <w:szCs w:val="24"/>
        </w:rPr>
        <w:t xml:space="preserve">  年度考核程序</w:t>
      </w:r>
    </w:p>
    <w:p w14:paraId="08F4B52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（一）</w:t>
      </w:r>
      <w:r>
        <w:rPr>
          <w:rFonts w:hint="eastAsia" w:asciiTheme="minorEastAsia" w:hAnsiTheme="minorEastAsia" w:eastAsiaTheme="minorEastAsia" w:cstheme="minorEastAsia"/>
          <w:sz w:val="24"/>
          <w:szCs w:val="24"/>
        </w:rPr>
        <w:t>被考核人员撰写年度工作总结，填写并提交《汕头市事业单位工作人员年度考核登记表》（附件6）、《教师岗位考核评分表》（附件5）及相关佐证材料至所在部门的二级考核小组。</w:t>
      </w:r>
    </w:p>
    <w:p w14:paraId="0BDC8BB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（二）</w:t>
      </w:r>
      <w:r>
        <w:rPr>
          <w:rFonts w:hint="eastAsia" w:asciiTheme="minorEastAsia" w:hAnsiTheme="minorEastAsia" w:eastAsiaTheme="minorEastAsia" w:cstheme="minorEastAsia"/>
          <w:sz w:val="24"/>
          <w:szCs w:val="24"/>
        </w:rPr>
        <w:t>二级考核小组对《教师岗位考核评分表》审核分类汇总，报各职能部门进行业绩评分后进行岗位考核评分。</w:t>
      </w:r>
    </w:p>
    <w:p w14:paraId="74825EF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育教学工作量报教务处负责审核评分；业绩成果填写《汕头职业技术学院业绩认定申报表》（附件4）后由申报人所在部门按类别汇总后报业务主管职能部门进行业绩分评分。评分结果由申报人所在部门进行公示，公示无异议后反馈给二级考核小组进行岗位考核评分。</w:t>
      </w:r>
    </w:p>
    <w:p w14:paraId="72C5E5D9">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（三）</w:t>
      </w:r>
      <w:r>
        <w:rPr>
          <w:rFonts w:hint="eastAsia" w:asciiTheme="minorEastAsia" w:hAnsiTheme="minorEastAsia" w:eastAsiaTheme="minorEastAsia" w:cstheme="minorEastAsia"/>
          <w:sz w:val="24"/>
          <w:szCs w:val="24"/>
        </w:rPr>
        <w:t>二级考核小组根据教师的年度工作综合表现、岗位考核评分等情况综合分析，研究提出教师年度考核档次建议。各</w:t>
      </w:r>
      <w:r>
        <w:rPr>
          <w:rFonts w:hint="eastAsia" w:asciiTheme="minorEastAsia" w:hAnsiTheme="minorEastAsia" w:eastAsiaTheme="minorEastAsia" w:cstheme="minorEastAsia"/>
          <w:kern w:val="0"/>
          <w:sz w:val="24"/>
          <w:szCs w:val="24"/>
        </w:rPr>
        <w:t>院（部）</w:t>
      </w:r>
      <w:r>
        <w:rPr>
          <w:rFonts w:hint="eastAsia" w:asciiTheme="minorEastAsia" w:hAnsiTheme="minorEastAsia" w:eastAsiaTheme="minorEastAsia" w:cstheme="minorEastAsia"/>
          <w:sz w:val="24"/>
          <w:szCs w:val="24"/>
        </w:rPr>
        <w:t>召开党政联席会议审议上报考核档次建议，基层党支部对教师年度考核档次建议进行政治把关。最终结果报人事处。</w:t>
      </w:r>
    </w:p>
    <w:p w14:paraId="05C69E2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kern w:val="0"/>
          <w:sz w:val="24"/>
          <w:szCs w:val="24"/>
        </w:rPr>
        <w:t>（四）</w:t>
      </w:r>
      <w:r>
        <w:rPr>
          <w:rFonts w:hint="eastAsia" w:asciiTheme="minorEastAsia" w:hAnsiTheme="minorEastAsia" w:eastAsiaTheme="minorEastAsia" w:cstheme="minorEastAsia"/>
          <w:sz w:val="24"/>
          <w:szCs w:val="24"/>
          <w:lang w:bidi="zh-CN"/>
        </w:rPr>
        <w:t>校长办公会审议考核档次。</w:t>
      </w:r>
    </w:p>
    <w:p w14:paraId="240ABD6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kern w:val="0"/>
          <w:sz w:val="24"/>
          <w:szCs w:val="24"/>
        </w:rPr>
        <w:t>（五）</w:t>
      </w:r>
      <w:r>
        <w:rPr>
          <w:rFonts w:hint="eastAsia" w:asciiTheme="minorEastAsia" w:hAnsiTheme="minorEastAsia" w:eastAsiaTheme="minorEastAsia" w:cstheme="minorEastAsia"/>
          <w:sz w:val="24"/>
          <w:szCs w:val="24"/>
          <w:lang w:bidi="zh-CN"/>
        </w:rPr>
        <w:t>党委会研究确定考核档次。</w:t>
      </w:r>
    </w:p>
    <w:p w14:paraId="7CA7BF19">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（六）</w:t>
      </w:r>
      <w:r>
        <w:rPr>
          <w:rFonts w:hint="eastAsia" w:asciiTheme="minorEastAsia" w:hAnsiTheme="minorEastAsia" w:eastAsiaTheme="minorEastAsia" w:cstheme="minorEastAsia"/>
          <w:sz w:val="24"/>
          <w:szCs w:val="24"/>
        </w:rPr>
        <w:t>考核结果在学校范围内进行公示，公示期不少于5个工作日。</w:t>
      </w:r>
    </w:p>
    <w:p w14:paraId="4D29ACAE">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（七）</w:t>
      </w:r>
      <w:r>
        <w:rPr>
          <w:rFonts w:hint="eastAsia" w:asciiTheme="minorEastAsia" w:hAnsiTheme="minorEastAsia" w:eastAsiaTheme="minorEastAsia" w:cstheme="minorEastAsia"/>
          <w:sz w:val="24"/>
          <w:szCs w:val="24"/>
        </w:rPr>
        <w:t>将考核结果以书面形式通知被考核人员，并由被考核人员签署意见，存入本人档案。</w:t>
      </w:r>
    </w:p>
    <w:p w14:paraId="7586210B">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第十二条</w:t>
      </w:r>
      <w:r>
        <w:rPr>
          <w:rFonts w:hint="eastAsia" w:asciiTheme="minorEastAsia" w:hAnsiTheme="minorEastAsia" w:eastAsiaTheme="minorEastAsia" w:cstheme="minorEastAsia"/>
          <w:kern w:val="0"/>
          <w:sz w:val="24"/>
          <w:szCs w:val="24"/>
        </w:rPr>
        <w:t xml:space="preserve">  聘期考核程序</w:t>
      </w:r>
    </w:p>
    <w:p w14:paraId="57AA9A6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（一）</w:t>
      </w:r>
      <w:r>
        <w:rPr>
          <w:rFonts w:hint="eastAsia" w:asciiTheme="minorEastAsia" w:hAnsiTheme="minorEastAsia" w:eastAsiaTheme="minorEastAsia" w:cstheme="minorEastAsia"/>
          <w:sz w:val="24"/>
          <w:szCs w:val="24"/>
        </w:rPr>
        <w:t>被考核人员撰写聘期工作总结，填写并提交《汕头职业技术学院教师岗位聘期考核登记表》（附件7）至所在部门的二级考核小组。</w:t>
      </w:r>
    </w:p>
    <w:p w14:paraId="22A047C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（二）</w:t>
      </w:r>
      <w:r>
        <w:rPr>
          <w:rFonts w:hint="eastAsia" w:asciiTheme="minorEastAsia" w:hAnsiTheme="minorEastAsia" w:eastAsiaTheme="minorEastAsia" w:cstheme="minorEastAsia"/>
          <w:sz w:val="24"/>
          <w:szCs w:val="24"/>
        </w:rPr>
        <w:t>二级考核小组进行初步审核，并汇总聘期考核业绩得分进行公示。</w:t>
      </w:r>
    </w:p>
    <w:p w14:paraId="310673B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（三）二级考核小组根据教师的聘期工作综合表现、聘期各年度考核情况、聘期测评等情况综合分析，研究提出教师聘期考核档次建议。各</w:t>
      </w:r>
      <w:r>
        <w:rPr>
          <w:rFonts w:hint="eastAsia" w:asciiTheme="minorEastAsia" w:hAnsiTheme="minorEastAsia" w:eastAsiaTheme="minorEastAsia" w:cstheme="minorEastAsia"/>
          <w:kern w:val="0"/>
          <w:sz w:val="24"/>
          <w:szCs w:val="24"/>
        </w:rPr>
        <w:t>院（部）</w:t>
      </w:r>
      <w:r>
        <w:rPr>
          <w:rFonts w:hint="eastAsia" w:asciiTheme="minorEastAsia" w:hAnsiTheme="minorEastAsia" w:eastAsiaTheme="minorEastAsia" w:cstheme="minorEastAsia"/>
          <w:sz w:val="24"/>
          <w:szCs w:val="24"/>
        </w:rPr>
        <w:t>召开党政联席会议审议上报考核档次建议，基层党支部对教师聘期考核档次建议进行政治把关。最终结果报人事处。</w:t>
      </w:r>
    </w:p>
    <w:p w14:paraId="06537F5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kern w:val="0"/>
          <w:sz w:val="24"/>
          <w:szCs w:val="24"/>
        </w:rPr>
        <w:t>（四）</w:t>
      </w:r>
      <w:r>
        <w:rPr>
          <w:rFonts w:hint="eastAsia" w:asciiTheme="minorEastAsia" w:hAnsiTheme="minorEastAsia" w:eastAsiaTheme="minorEastAsia" w:cstheme="minorEastAsia"/>
          <w:sz w:val="24"/>
          <w:szCs w:val="24"/>
          <w:lang w:bidi="zh-CN"/>
        </w:rPr>
        <w:t>校长办公会审议考核档次。</w:t>
      </w:r>
    </w:p>
    <w:p w14:paraId="51FE127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zh-CN"/>
        </w:rPr>
        <w:t>（五）党委会研究确定考核档次。</w:t>
      </w:r>
    </w:p>
    <w:p w14:paraId="49D17E8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（六）</w:t>
      </w:r>
      <w:r>
        <w:rPr>
          <w:rFonts w:hint="eastAsia" w:asciiTheme="minorEastAsia" w:hAnsiTheme="minorEastAsia" w:eastAsiaTheme="minorEastAsia" w:cstheme="minorEastAsia"/>
          <w:sz w:val="24"/>
          <w:szCs w:val="24"/>
        </w:rPr>
        <w:t>考核结果在学校范围内进行公示，公示期不少于5个工作日。</w:t>
      </w:r>
    </w:p>
    <w:p w14:paraId="68B5A03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（七）</w:t>
      </w:r>
      <w:r>
        <w:rPr>
          <w:rFonts w:hint="eastAsia" w:asciiTheme="minorEastAsia" w:hAnsiTheme="minorEastAsia" w:eastAsiaTheme="minorEastAsia" w:cstheme="minorEastAsia"/>
          <w:sz w:val="24"/>
          <w:szCs w:val="24"/>
        </w:rPr>
        <w:t>将考核结果以书面形式通知被考核人员，并由被考核人员签署意见，存入本人档案。</w:t>
      </w:r>
    </w:p>
    <w:p w14:paraId="27846DD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4" w:name="_Toc31230"/>
      <w:bookmarkStart w:id="15" w:name="_Toc12132"/>
      <w:r>
        <w:rPr>
          <w:rFonts w:hint="eastAsia" w:asciiTheme="minorEastAsia" w:hAnsiTheme="minorEastAsia" w:eastAsiaTheme="minorEastAsia" w:cstheme="minorEastAsia"/>
          <w:b/>
          <w:bCs/>
          <w:kern w:val="0"/>
          <w:sz w:val="24"/>
          <w:szCs w:val="24"/>
        </w:rPr>
        <w:t>第五章  考核结果的确定</w:t>
      </w:r>
      <w:bookmarkEnd w:id="14"/>
      <w:bookmarkEnd w:id="15"/>
    </w:p>
    <w:p w14:paraId="4D5D6ACC">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第十三条  教师岗位年度考核结果的确定</w:t>
      </w:r>
    </w:p>
    <w:p w14:paraId="4B80F50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教师岗位年度考核结果分为“A、B、C、D、E”五个档次（教师岗位年度考核“A”档次比例按照考核当年事业单位年度考核中“优秀”档次比例确定，其他档次不限）。</w:t>
      </w:r>
    </w:p>
    <w:p w14:paraId="27EF1C2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各档次评定的基本条件如下：</w:t>
      </w:r>
    </w:p>
    <w:p w14:paraId="3B213BBE">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（一）A档次</w:t>
      </w:r>
    </w:p>
    <w:p w14:paraId="112087F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思想政治素质高，理想信念坚定，贯彻落实党中央决策部署坚决有力，模范遵守法律法规，恪守职业道德，具有良好社会公德、家庭美德和个人品德；履行岗位职责能力强，精通本职业务，与岗位要求相应的专业技术技能或者管理水平高；公共服务意识和工作责任心强，勤勉敬业奉献，改革创新意识强，工作作风好；全面履行岗位职责，高质量完成各项工作任务，工作实绩突出，对社会或者单位有贡献，服务对象满意度高；廉洁从业且在遵守廉洁纪律方面具有模范带头作用。被考核人需同时满足以下条件：</w:t>
      </w:r>
    </w:p>
    <w:p w14:paraId="247D432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1．达到第六条所规定教师岗位年度考核基本指标；</w:t>
      </w:r>
    </w:p>
    <w:p w14:paraId="5C72035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2．年度教育教学、业绩成果、公共服务工作均达到考核基准；</w:t>
      </w:r>
    </w:p>
    <w:p w14:paraId="746F3AA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3．超过考核基准得分排位在本部门中的前25%；</w:t>
      </w:r>
    </w:p>
    <w:p w14:paraId="434D05A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4．教学课堂质量评价排名在本部门中的前80%。</w:t>
      </w:r>
    </w:p>
    <w:p w14:paraId="0FC519F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（二）B档次</w:t>
      </w:r>
    </w:p>
    <w:p w14:paraId="37B767A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思想政治素质高，能够贯彻落实党中央决策部署，自觉遵守法律法规和职业道德，具有较好社会公德、家庭美德和个人品德；履行岗位职责能力较强，熟悉本职业务，与岗位要求相应的专业技术技能或者管理水平较高；公共服务意识和工作责任心较强，工作认真负责，工作作风较好；能够履行所聘岗位职责、全面完成所聘岗位规定的工作任务，服务对象满意度较高；廉洁从业。被考核人需同时满足以下条件：</w:t>
      </w:r>
    </w:p>
    <w:p w14:paraId="1DF1F57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1．达到第六条所规定教师岗位年度考核基本指标；</w:t>
      </w:r>
    </w:p>
    <w:p w14:paraId="2666E23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2．公共服务工作达到考核基准；</w:t>
      </w:r>
    </w:p>
    <w:p w14:paraId="372B0B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3．教学质量评价分数不低于75分；</w:t>
      </w:r>
    </w:p>
    <w:p w14:paraId="0943E5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4．年度系统讲授2门以上课程（心理教育与教学部教师年度系统讲授1门以上课程）；</w:t>
      </w:r>
    </w:p>
    <w:p w14:paraId="648DBC9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年度实际教学工作量不得低于基准教学工作量80%，且年度实际业绩成果分数不得低于基准业绩成果分数的40%，且（实际教学工作量－基准教学工作量）+（实际业绩成果分数－基准业绩成果分数）×36计算结果不能低于0。</w:t>
      </w:r>
    </w:p>
    <w:p w14:paraId="0B2D95D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（三）C档次</w:t>
      </w:r>
    </w:p>
    <w:p w14:paraId="3CD35F1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思想政治素质较高，能够贯彻落实党中央决策部署，自觉遵守法律法规和职业道德，具有较好社会公德、家庭美德和个人品德；履行岗位职责能力较强，熟悉本职业务，与岗位要求相应的专业技术技能或者管理水平较高；公共服务意识和工作责任心较强，工作认真负责，工作作风较好；能够履行岗位职责，能完成工作任务，服务对象满意度较高；廉洁从业。被考核人需同时满足以下条件：</w:t>
      </w:r>
    </w:p>
    <w:p w14:paraId="3350AD8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1．达到第六条所规定教师岗位年度考核基本指标；</w:t>
      </w:r>
    </w:p>
    <w:p w14:paraId="6F6894EE">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2．公共服务工作达到考核基准；</w:t>
      </w:r>
    </w:p>
    <w:p w14:paraId="16F56C8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3．教学质量评价分数不低于75分；</w:t>
      </w:r>
    </w:p>
    <w:p w14:paraId="6DED777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教学型教师需达到对应的教学型教师岗位年度基准教学工作量；教学科研型教师需达到对应的教学科研型教师岗位基准业绩成果分数，且年度实际教学工作量不低于对应的教学科研型教师岗位基准教学工作量的80%。</w:t>
      </w:r>
    </w:p>
    <w:p w14:paraId="425E563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（四）D档次</w:t>
      </w:r>
    </w:p>
    <w:p w14:paraId="54362FA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基本能够履行所聘岗位职责、完成所聘岗位规定的基本工作任务。被考核人需同时满足以下条件：</w:t>
      </w:r>
    </w:p>
    <w:p w14:paraId="122A6F2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1．教学质量评价分数不低于60分；</w:t>
      </w:r>
    </w:p>
    <w:p w14:paraId="5A5AE92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2．公共服务工作不低于考核基准60%；</w:t>
      </w:r>
    </w:p>
    <w:p w14:paraId="3B8AE67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3．年度实际教育教学工作量不低于年度基准教学工作量60%；</w:t>
      </w:r>
    </w:p>
    <w:p w14:paraId="4B4B795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4．教育教学工作、业绩成果、公共服务工作不少于1项达到考核基准。</w:t>
      </w:r>
    </w:p>
    <w:p w14:paraId="2430AE1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（五）E档次</w:t>
      </w:r>
    </w:p>
    <w:p w14:paraId="224D104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出现下列情况之一的，确定为E档次：</w:t>
      </w:r>
    </w:p>
    <w:p w14:paraId="421AAB5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1．教学质量评价分数低于60分；</w:t>
      </w:r>
    </w:p>
    <w:p w14:paraId="07A4865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2．公共服务工作低于考核基准60%；</w:t>
      </w:r>
    </w:p>
    <w:p w14:paraId="143F9434">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3．年度实际教育教学工作量低于年度基准教学工作量60%；</w:t>
      </w:r>
    </w:p>
    <w:p w14:paraId="0111BB8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4．教育教学工作、业绩成果、公共服务工作均达不到考核基准；</w:t>
      </w:r>
    </w:p>
    <w:p w14:paraId="640F33F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5．违反师德规范，年度师德考核不合格；</w:t>
      </w:r>
    </w:p>
    <w:p w14:paraId="72FC0C6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6．有违法违纪行为或组织纪律性差，在工作中严重违反校规校纪，影响到学校正常的教育、教学秩序，在社会上和师生中造成不良影响；</w:t>
      </w:r>
    </w:p>
    <w:p w14:paraId="2392360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7．发生重大教学事故。</w:t>
      </w:r>
    </w:p>
    <w:p w14:paraId="11633EA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未达到第六条所规定教师岗位年度考核基本指标，一般应定为D及以下等层次。</w:t>
      </w:r>
    </w:p>
    <w:p w14:paraId="365FFA0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各教学部门可根据实际情况在满足各档次基本条件的基础上制定本部门的各档次的评定细则。</w:t>
      </w:r>
    </w:p>
    <w:p w14:paraId="00CEB21A">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第十四条</w:t>
      </w:r>
      <w:r>
        <w:rPr>
          <w:rFonts w:hint="eastAsia" w:asciiTheme="minorEastAsia" w:hAnsiTheme="minorEastAsia" w:eastAsiaTheme="minorEastAsia" w:cstheme="minorEastAsia"/>
          <w:kern w:val="0"/>
          <w:sz w:val="24"/>
          <w:szCs w:val="24"/>
        </w:rPr>
        <w:t xml:space="preserve">  下列人员的年度考核按以下规定办理：</w:t>
      </w:r>
    </w:p>
    <w:p w14:paraId="633F7B8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（一）对初次就业的考任教师，在本学校工作不满考核年度半年的（含试用期），参加年度考核，只写评语，不确定档次。</w:t>
      </w:r>
    </w:p>
    <w:p w14:paraId="1E4CA31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非初次就业的考任教师，当年在其他单位工作时间与本单位工作时间合并计算，不满考核年度半年的（含试用期），参加年度考核，只写评语，不确定档次；满考核年度半年的（含试用期），由其现所在部门进行年度考核并提出档次建议，原工作单位提供有关情况。</w:t>
      </w:r>
    </w:p>
    <w:p w14:paraId="3A8956A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前款所称其他单位工作时间，可以根据干部人事档案有关记载、劳动合同、社会保险缴费证明等综合认定。</w:t>
      </w:r>
    </w:p>
    <w:p w14:paraId="13FA6ADF">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（二）交流任职的教师，在现工作部门进行考核，其交流任职前的有关情况由原部门协助提供。</w:t>
      </w:r>
    </w:p>
    <w:p w14:paraId="1571E294">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（三）挂职、援派、驻外的专任教师，在外派期间一般由工作时间超过考核年度半年的单位进行考核并以适当的方式听取派出单位或者接收单位的意见。</w:t>
      </w:r>
    </w:p>
    <w:p w14:paraId="290778A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派出到外单位学习培训、执行任务的专任教师，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14:paraId="489D345A">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（五）病假、事假、非学校派出外出学习培训累计超过考核年度半年的专任教师，参加年度考核，不确定档次。</w:t>
      </w:r>
    </w:p>
    <w:p w14:paraId="288E5051">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因公伤病假、女性工作人员产假累计超过考核年度半年的，参加年度考核，确定等次。</w:t>
      </w:r>
    </w:p>
    <w:p w14:paraId="152FD57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符合第十四条第（三）到（五）项规定参加年度考核，确定档次情况的，其教育教学指标、业绩成果指标、公共服务指标等考核基准可按照实际任职专任教师工作时段计算。新进教师暂未安排教学任务的，自入校第二学期起考核教学工作量。</w:t>
      </w:r>
    </w:p>
    <w:p w14:paraId="7CFE430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（七）涉嫌违规违纪违法被立案审查调查尚未结案的，参加年度考核，不写评语，不确定档次。结案后未受处分或者给予警告处分的，按规定补定档次。</w:t>
      </w:r>
    </w:p>
    <w:p w14:paraId="590F386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（八）受党纪政务处分或者组织处理、诫勉的事业单位工作人员参加年度考核，按照有关规定办理。同时受党纪政务处分和组织处理的，按照对其年度考核结果影响较重的处理、处分确定年度考核结果。</w:t>
      </w:r>
    </w:p>
    <w:p w14:paraId="258A05B7">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（九）对无正当理由不参加年度考核的干部，经教育后仍拒绝参加的，确定其年度考核结果为“不合格”档次。</w:t>
      </w:r>
    </w:p>
    <w:p w14:paraId="284D615F">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第十五条</w:t>
      </w:r>
      <w:r>
        <w:rPr>
          <w:rFonts w:hint="eastAsia" w:asciiTheme="minorEastAsia" w:hAnsiTheme="minorEastAsia" w:eastAsiaTheme="minorEastAsia" w:cstheme="minorEastAsia"/>
          <w:kern w:val="0"/>
          <w:sz w:val="24"/>
          <w:szCs w:val="24"/>
        </w:rPr>
        <w:t xml:space="preserve"> 聘期考核结果的确定</w:t>
      </w:r>
    </w:p>
    <w:p w14:paraId="2440609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（一）聘期考核结果分为“合格、不合格”等档次。</w:t>
      </w:r>
    </w:p>
    <w:p w14:paraId="68A7CDB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（二）聘期考核被评定为合格档次，聘期内应能履行所聘岗位职责，在聘期内须完成聘用所聘岗位规定的任务指标；被考核人应同时满足下列条件：</w:t>
      </w:r>
    </w:p>
    <w:p w14:paraId="3CD0D13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1．达到第六条所规定教师岗位聘期考核基本指标；</w:t>
      </w:r>
    </w:p>
    <w:p w14:paraId="0A9C5BBD">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2．聘期内教育教学、业绩成果、公共服务工作均达到考核基准；</w:t>
      </w:r>
    </w:p>
    <w:p w14:paraId="55306A3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3．原则上专业技术三级、四级教师岗位需主持市级及以上项目（课题），专业技术五级、六级、七级教师岗位需主持院级及以上项目（课题），专业技术八级及以下教师岗位需参与院级及以上项目（课题）；</w:t>
      </w:r>
    </w:p>
    <w:p w14:paraId="5B6A225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关心关爱学生成长，40周岁以下（计算至发布聘期考核通知之日）教师在我校工作满6年，需累计担任兼职辅导员或班主任等学生工作1年及以上（其中担任兼职辅导员不少于6个月）。未满足以上条件的，需在本制度执行之日起三年内累计担任兼职辅导员或班主任等学生工作1年及以上（其中担任兼职辅导员不少于6个月）。</w:t>
      </w:r>
    </w:p>
    <w:p w14:paraId="747C8478">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bookmarkStart w:id="16" w:name="_Toc10051"/>
      <w:bookmarkStart w:id="17" w:name="_Toc1179"/>
      <w:r>
        <w:rPr>
          <w:rFonts w:hint="eastAsia" w:asciiTheme="minorEastAsia" w:hAnsiTheme="minorEastAsia" w:eastAsiaTheme="minorEastAsia" w:cstheme="minorEastAsia"/>
          <w:kern w:val="0"/>
          <w:sz w:val="24"/>
          <w:szCs w:val="24"/>
        </w:rPr>
        <w:t>聘期考核达不到合格档次的为不合格档次。</w:t>
      </w:r>
      <w:bookmarkEnd w:id="16"/>
      <w:bookmarkEnd w:id="17"/>
    </w:p>
    <w:p w14:paraId="7C5C954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（三）曾患重大疾病人员（参照中国保险行业协会规定的25种重大疾病类别，下同）聘期教育教学工作指标和公共服务工作指标达到对应的考核基准，业绩成果指标达到对应的考核基准的50%可定为合格档次。</w:t>
      </w:r>
    </w:p>
    <w:p w14:paraId="2168CFE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kern w:val="0"/>
          <w:sz w:val="24"/>
          <w:szCs w:val="24"/>
        </w:rPr>
      </w:pPr>
      <w:bookmarkStart w:id="18" w:name="_Toc91"/>
      <w:bookmarkStart w:id="19" w:name="_Toc18812"/>
      <w:r>
        <w:rPr>
          <w:rFonts w:hint="eastAsia" w:asciiTheme="minorEastAsia" w:hAnsiTheme="minorEastAsia" w:eastAsiaTheme="minorEastAsia" w:cstheme="minorEastAsia"/>
          <w:b/>
          <w:bCs/>
          <w:kern w:val="0"/>
          <w:sz w:val="24"/>
          <w:szCs w:val="24"/>
        </w:rPr>
        <w:t>第六章  考核结果的运用</w:t>
      </w:r>
      <w:bookmarkEnd w:id="18"/>
      <w:bookmarkEnd w:id="19"/>
    </w:p>
    <w:p w14:paraId="2D2703AE">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第十六条</w:t>
      </w:r>
      <w:r>
        <w:rPr>
          <w:rFonts w:hint="eastAsia" w:asciiTheme="minorEastAsia" w:hAnsiTheme="minorEastAsia" w:eastAsiaTheme="minorEastAsia" w:cstheme="minorEastAsia"/>
          <w:kern w:val="0"/>
          <w:sz w:val="24"/>
          <w:szCs w:val="24"/>
        </w:rPr>
        <w:t xml:space="preserve">  教师岗位年度考核结果将作为干部选拔任用、调整职务、奖惩、职称评审、培训、续聘等的重要依据。</w:t>
      </w:r>
    </w:p>
    <w:p w14:paraId="026678A8">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第十七条</w:t>
      </w:r>
      <w:r>
        <w:rPr>
          <w:rFonts w:hint="eastAsia" w:asciiTheme="minorEastAsia" w:hAnsiTheme="minorEastAsia" w:eastAsiaTheme="minorEastAsia" w:cstheme="minorEastAsia"/>
          <w:kern w:val="0"/>
          <w:sz w:val="24"/>
          <w:szCs w:val="24"/>
        </w:rPr>
        <w:t xml:space="preserve">  年度考核结果的运用</w:t>
      </w:r>
    </w:p>
    <w:p w14:paraId="340F252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教师岗位年度考核结果直接运用于事业单位年度考核结果。专任教师年度考核为A档次，事业单位年度考核结果一般确定为“优秀”档次；专任教师年度考核为B、C档次，事业单位年度考核结果一般确定为“合格”档次；专任教师年度考核为D档次，事业单位年度考核结果一般确定为“基本合格”档次；专任教师年度考核为E档次，事业单位年度考核结果一般确定为“不合格”档次。</w:t>
      </w:r>
    </w:p>
    <w:p w14:paraId="56FC0FD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（二）年度考核结果被确定为“合格”及以上档次，按照有关规定增加一级薪级工资、发放绩效工资、本考核年度计算为现聘岗位等级的任职年限。</w:t>
      </w:r>
    </w:p>
    <w:p w14:paraId="7F61BFC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年度考核结果为“基本合格”档次，责令作出书面检查，限期改进；不得增加薪级工资；相应核减绩效工资；本考核年度不计算为现聘岗位等级的任职年限，下一考核年度内不得晋升岗位等级。连续两年被确定为基本合格档次的，予以组织调整或者组织处理。</w:t>
      </w:r>
    </w:p>
    <w:p w14:paraId="2CC5EBA2">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年度考核结果为“不合格”档次：不得增加薪级工资；相应核减绩效工资；向低一级岗位等级调整；本考核年度不计算为现聘岗位等级的任职年限。被确定为不合格档次且不同意调整工作岗位，或者连续两年被确定为不合格档次的，可以按规定解除聘用（任）合同。其中，受处理、处分时已按规定降低岗位等级且当年年度考核被确定为不合格档次的，为避免重复处罚，不再向低一级岗位等级调整。</w:t>
      </w:r>
    </w:p>
    <w:p w14:paraId="6BD8651B">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（五）年度考核不确定档次的：不得增加薪级工资；相应核减绩效工资；本考核年度不计算为现聘岗位等级的任职年限，连续两年不确定档次的，视情况调整工作岗位。</w:t>
      </w:r>
    </w:p>
    <w:p w14:paraId="7D9D54D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（六）年度考核结果作为年度绩效考核奖金发放的重要依据：</w:t>
      </w:r>
    </w:p>
    <w:p w14:paraId="2D37097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1．年度考核被评定为基本合格档次的，其基础性绩效工资下年度按基准的80%发放,奖励性绩效工资按单位同类同级人员平均水平80%计发。</w:t>
      </w:r>
    </w:p>
    <w:p w14:paraId="7A665EA3">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2．年度考核不合格或因违纪违法年度考核不评定档次，下一年度基础性绩效工资按50%计发，奖励性绩效工资按单位同类同级人员平均水平50%计发。</w:t>
      </w:r>
    </w:p>
    <w:p w14:paraId="635900C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年度实际教学工作量－基准教学工作量）+（年度实际业绩成果分数－基准业绩成果分数）×36计算结果小于0的专任教师，按照未完成情况扣减考核年度奖励性绩效工资，扣减金额如下：【1－（实际教学工作量+实际业绩成果分数×36）/（基准教学工作量+基准业绩成果分数×36）】×考核年度奖励性绩效工资。扣减金额在下一年度奖励性绩效工资中分配到每月扣除。</w:t>
      </w:r>
    </w:p>
    <w:p w14:paraId="0A99CF9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4．临退休人员（距退休不足三年）、曾患重大疾病人员，年度考核合格及以上的档次，全额发放绩效工资和绩效考核奖励。</w:t>
      </w:r>
    </w:p>
    <w:p w14:paraId="34247C2C">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（七）教师不适宜担任现职的，应当根据有关规定对其进行调整。</w:t>
      </w:r>
    </w:p>
    <w:p w14:paraId="7F4989BE">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第十八条</w:t>
      </w:r>
      <w:r>
        <w:rPr>
          <w:rFonts w:hint="eastAsia" w:asciiTheme="minorEastAsia" w:hAnsiTheme="minorEastAsia" w:eastAsiaTheme="minorEastAsia" w:cstheme="minorEastAsia"/>
          <w:kern w:val="0"/>
          <w:sz w:val="24"/>
          <w:szCs w:val="24"/>
        </w:rPr>
        <w:t xml:space="preserve">  聘期考核结果的运用</w:t>
      </w:r>
    </w:p>
    <w:p w14:paraId="2799571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bookmarkStart w:id="20" w:name="_Toc21752"/>
      <w:bookmarkStart w:id="21" w:name="_Toc8524"/>
      <w:r>
        <w:rPr>
          <w:rFonts w:hint="eastAsia" w:asciiTheme="minorEastAsia" w:hAnsiTheme="minorEastAsia" w:eastAsiaTheme="minorEastAsia" w:cstheme="minorEastAsia"/>
          <w:kern w:val="0"/>
          <w:sz w:val="24"/>
          <w:szCs w:val="24"/>
        </w:rPr>
        <w:t>聘期考核结果作为职级晋升和续聘的重要参考。</w:t>
      </w:r>
      <w:bookmarkEnd w:id="20"/>
      <w:bookmarkEnd w:id="21"/>
    </w:p>
    <w:p w14:paraId="354B0626">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（一）在教师岗位充足时，对于聘期考核为合格档次的教师，经本人、学院协商一致,可以续订聘用合同。</w:t>
      </w:r>
    </w:p>
    <w:p w14:paraId="7F6261E0">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（二）对于聘期考核结果为不合格档次的教师，合同期满一般不再续聘；特殊情况确需续订聘用合同的，应当报经主管机关(部门)审核同意。</w:t>
      </w:r>
    </w:p>
    <w:p w14:paraId="4F1E530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22" w:name="_Toc27932"/>
      <w:bookmarkStart w:id="23" w:name="_Toc3321"/>
      <w:r>
        <w:rPr>
          <w:rFonts w:hint="eastAsia" w:asciiTheme="minorEastAsia" w:hAnsiTheme="minorEastAsia" w:eastAsiaTheme="minorEastAsia" w:cstheme="minorEastAsia"/>
          <w:b/>
          <w:bCs/>
          <w:kern w:val="0"/>
          <w:sz w:val="24"/>
          <w:szCs w:val="24"/>
        </w:rPr>
        <w:t>第七章  复核与申诉</w:t>
      </w:r>
      <w:bookmarkEnd w:id="22"/>
      <w:bookmarkEnd w:id="23"/>
    </w:p>
    <w:p w14:paraId="7E6DC59B">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第十九条 </w:t>
      </w:r>
      <w:r>
        <w:rPr>
          <w:rFonts w:hint="eastAsia" w:asciiTheme="minorEastAsia" w:hAnsiTheme="minorEastAsia" w:eastAsiaTheme="minorEastAsia" w:cstheme="minorEastAsia"/>
          <w:kern w:val="0"/>
          <w:sz w:val="24"/>
          <w:szCs w:val="24"/>
        </w:rPr>
        <w:t xml:space="preserve"> 对考核结果有异议的专任教师，可自接到考核结果书面通知之日起五个工作日内向人事处申请复核，人事处应当在十个工作日内将复核意见书面通知其所在部门和本人。</w:t>
      </w:r>
    </w:p>
    <w:p w14:paraId="6CD07355">
      <w:pPr>
        <w:keepNext w:val="0"/>
        <w:keepLines w:val="0"/>
        <w:pageBreakBefore w:val="0"/>
        <w:kinsoku/>
        <w:wordWrap/>
        <w:overflowPunct/>
        <w:topLinePunct w:val="0"/>
        <w:autoSpaceDE/>
        <w:autoSpaceDN/>
        <w:bidi w:val="0"/>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对复核结果不服的专任教师，可以自接到复核意见之日起五个工作日内，向考核小组提出申诉，考核小组应当自受理之日起二十个工作日内做出处理决定，并将处理决定书面通知其所在部门和本人。</w:t>
      </w:r>
    </w:p>
    <w:p w14:paraId="2C3E4D5A">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第二十条</w:t>
      </w:r>
      <w:r>
        <w:rPr>
          <w:rFonts w:hint="eastAsia" w:asciiTheme="minorEastAsia" w:hAnsiTheme="minorEastAsia" w:eastAsiaTheme="minorEastAsia" w:cstheme="minorEastAsia"/>
          <w:kern w:val="0"/>
          <w:sz w:val="24"/>
          <w:szCs w:val="24"/>
        </w:rPr>
        <w:t xml:space="preserve">  申请人申请复核或申诉期间，不影响原考核结果执行。经核查后，考核结果如有变动的，按照复核结果补办相关待遇。</w:t>
      </w:r>
    </w:p>
    <w:p w14:paraId="5BEB5D9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24" w:name="_Toc9444"/>
      <w:bookmarkStart w:id="25" w:name="_Toc23065"/>
      <w:r>
        <w:rPr>
          <w:rFonts w:hint="eastAsia" w:asciiTheme="minorEastAsia" w:hAnsiTheme="minorEastAsia" w:eastAsiaTheme="minorEastAsia" w:cstheme="minorEastAsia"/>
          <w:b/>
          <w:bCs/>
          <w:kern w:val="0"/>
          <w:sz w:val="24"/>
          <w:szCs w:val="24"/>
        </w:rPr>
        <w:t>第八章  附则</w:t>
      </w:r>
      <w:bookmarkEnd w:id="24"/>
      <w:bookmarkEnd w:id="25"/>
    </w:p>
    <w:p w14:paraId="2AFB4FF5">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第二十一条</w:t>
      </w:r>
      <w:r>
        <w:rPr>
          <w:rFonts w:hint="eastAsia" w:asciiTheme="minorEastAsia" w:hAnsiTheme="minorEastAsia" w:eastAsiaTheme="minorEastAsia" w:cstheme="minorEastAsia"/>
          <w:kern w:val="0"/>
          <w:sz w:val="24"/>
          <w:szCs w:val="24"/>
        </w:rPr>
        <w:t xml:space="preserve">  非首聘期教师聘期起算时间为2022年1月，聘期内职称获得晋升教师新聘期起算时间自获得职称晋升时间起算。非首聘期教师一个聘期按照三年计算。</w:t>
      </w:r>
    </w:p>
    <w:p w14:paraId="44BDDABF">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第二十二条</w:t>
      </w:r>
      <w:r>
        <w:rPr>
          <w:rFonts w:hint="eastAsia" w:asciiTheme="minorEastAsia" w:hAnsiTheme="minorEastAsia" w:eastAsiaTheme="minorEastAsia" w:cstheme="minorEastAsia"/>
          <w:kern w:val="0"/>
          <w:sz w:val="24"/>
          <w:szCs w:val="24"/>
        </w:rPr>
        <w:t xml:space="preserve">  对于在考核过程中有徇私舞弊、打击报复、弄虚作假行为的，依照有关规定予以严肃处理。</w:t>
      </w:r>
    </w:p>
    <w:p w14:paraId="2DD44BDD">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第二十三条</w:t>
      </w:r>
      <w:r>
        <w:rPr>
          <w:rFonts w:hint="eastAsia" w:asciiTheme="minorEastAsia" w:hAnsiTheme="minorEastAsia" w:eastAsiaTheme="minorEastAsia" w:cstheme="minorEastAsia"/>
          <w:kern w:val="0"/>
          <w:sz w:val="24"/>
          <w:szCs w:val="24"/>
        </w:rPr>
        <w:t xml:space="preserve">  本办法未尽事宜按上级文件和学校有关规定执行。本办法所依据的国家法律、法规和相关政策发生变化时，按新的规定执行。</w:t>
      </w:r>
    </w:p>
    <w:p w14:paraId="1B269DBB">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第二十四条</w:t>
      </w:r>
      <w:r>
        <w:rPr>
          <w:rFonts w:hint="eastAsia" w:asciiTheme="minorEastAsia" w:hAnsiTheme="minorEastAsia" w:eastAsiaTheme="minorEastAsia" w:cstheme="minorEastAsia"/>
          <w:kern w:val="0"/>
          <w:sz w:val="24"/>
          <w:szCs w:val="24"/>
        </w:rPr>
        <w:t xml:space="preserve">  本办法由学校人事处负责解释。</w:t>
      </w:r>
    </w:p>
    <w:p w14:paraId="47D08F90">
      <w:pPr>
        <w:keepNext w:val="0"/>
        <w:keepLines w:val="0"/>
        <w:pageBreakBefore w:val="0"/>
        <w:kinsoku/>
        <w:wordWrap/>
        <w:overflowPunct/>
        <w:topLinePunct w:val="0"/>
        <w:autoSpaceDE/>
        <w:autoSpaceDN/>
        <w:bidi w:val="0"/>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第二十五条</w:t>
      </w:r>
      <w:r>
        <w:rPr>
          <w:rFonts w:hint="eastAsia" w:asciiTheme="minorEastAsia" w:hAnsiTheme="minorEastAsia" w:eastAsiaTheme="minorEastAsia" w:cstheme="minorEastAsia"/>
          <w:kern w:val="0"/>
          <w:sz w:val="24"/>
          <w:szCs w:val="24"/>
        </w:rPr>
        <w:t xml:space="preserve">  本办法自</w:t>
      </w:r>
      <w:r>
        <w:rPr>
          <w:rFonts w:hint="eastAsia" w:asciiTheme="minorEastAsia" w:hAnsiTheme="minorEastAsia" w:eastAsiaTheme="minorEastAsia" w:cstheme="minorEastAsia"/>
          <w:sz w:val="24"/>
          <w:szCs w:val="24"/>
        </w:rPr>
        <w:t>2023年6月25日</w:t>
      </w:r>
      <w:r>
        <w:rPr>
          <w:rFonts w:hint="eastAsia" w:asciiTheme="minorEastAsia" w:hAnsiTheme="minorEastAsia" w:eastAsiaTheme="minorEastAsia" w:cstheme="minorEastAsia"/>
          <w:kern w:val="0"/>
          <w:sz w:val="24"/>
          <w:szCs w:val="24"/>
        </w:rPr>
        <w:t>起实施。</w:t>
      </w:r>
      <w:r>
        <w:rPr>
          <w:rFonts w:hint="eastAsia" w:asciiTheme="minorEastAsia" w:hAnsiTheme="minorEastAsia" w:eastAsiaTheme="minorEastAsia" w:cstheme="minorEastAsia"/>
          <w:sz w:val="24"/>
          <w:szCs w:val="24"/>
          <w:shd w:val="clear" w:color="auto" w:fill="FFFFFF"/>
        </w:rPr>
        <w:t>《汕头职业技术学院教师岗位考核办法（修订）》（汕职院党办</w:t>
      </w:r>
      <w:r>
        <w:rPr>
          <w:rFonts w:hint="eastAsia" w:asciiTheme="minorEastAsia" w:hAnsiTheme="minorEastAsia" w:eastAsiaTheme="minorEastAsia" w:cstheme="minorEastAsia"/>
          <w:kern w:val="0"/>
          <w:sz w:val="24"/>
          <w:szCs w:val="24"/>
        </w:rPr>
        <w:t>〔2022〕52号</w:t>
      </w:r>
      <w:r>
        <w:rPr>
          <w:rFonts w:hint="eastAsia" w:asciiTheme="minorEastAsia" w:hAnsiTheme="minorEastAsia" w:eastAsiaTheme="minorEastAsia" w:cstheme="minorEastAsia"/>
          <w:sz w:val="24"/>
          <w:szCs w:val="24"/>
          <w:shd w:val="clear" w:color="auto" w:fill="FFFFFF"/>
        </w:rPr>
        <w:t>）同时废止。</w:t>
      </w:r>
    </w:p>
    <w:p w14:paraId="47E2EBF2">
      <w:pPr>
        <w:keepNext w:val="0"/>
        <w:keepLines w:val="0"/>
        <w:pageBreakBefore w:val="0"/>
        <w:kinsoku/>
        <w:wordWrap/>
        <w:overflowPunct/>
        <w:topLinePunct w:val="0"/>
        <w:autoSpaceDE/>
        <w:autoSpaceDN/>
        <w:bidi w:val="0"/>
        <w:spacing w:line="440" w:lineRule="exact"/>
        <w:ind w:left="1590" w:leftChars="300" w:hanging="960" w:hangingChars="400"/>
        <w:outlineLvl w:val="1"/>
        <w:rPr>
          <w:rFonts w:hint="eastAsia" w:asciiTheme="minorEastAsia" w:hAnsiTheme="minorEastAsia" w:eastAsiaTheme="minorEastAsia" w:cstheme="minorEastAsia"/>
          <w:kern w:val="0"/>
          <w:sz w:val="24"/>
          <w:szCs w:val="24"/>
        </w:rPr>
      </w:pPr>
    </w:p>
    <w:p w14:paraId="73D0148A">
      <w:pPr>
        <w:keepNext w:val="0"/>
        <w:keepLines w:val="0"/>
        <w:pageBreakBefore w:val="0"/>
        <w:kinsoku/>
        <w:wordWrap/>
        <w:overflowPunct/>
        <w:topLinePunct w:val="0"/>
        <w:autoSpaceDE/>
        <w:autoSpaceDN/>
        <w:bidi w:val="0"/>
        <w:spacing w:line="440" w:lineRule="exact"/>
        <w:ind w:left="1590" w:leftChars="300" w:hanging="960" w:hangingChars="4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附件：1．汕头职业技术学院教师岗位考核业绩成果计分表</w:t>
      </w:r>
    </w:p>
    <w:p w14:paraId="6C6F56B8">
      <w:pPr>
        <w:keepNext w:val="0"/>
        <w:keepLines w:val="0"/>
        <w:pageBreakBefore w:val="0"/>
        <w:kinsoku/>
        <w:wordWrap/>
        <w:overflowPunct/>
        <w:topLinePunct w:val="0"/>
        <w:autoSpaceDE/>
        <w:autoSpaceDN/>
        <w:bidi w:val="0"/>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（1-1教育教学业绩、1-2教科研和社会服务）</w:t>
      </w:r>
    </w:p>
    <w:p w14:paraId="7D637B99">
      <w:pPr>
        <w:keepNext w:val="0"/>
        <w:keepLines w:val="0"/>
        <w:pageBreakBefore w:val="0"/>
        <w:numPr>
          <w:ilvl w:val="0"/>
          <w:numId w:val="0"/>
        </w:numPr>
        <w:kinsoku/>
        <w:wordWrap/>
        <w:overflowPunct/>
        <w:topLinePunct w:val="0"/>
        <w:autoSpaceDE/>
        <w:autoSpaceDN/>
        <w:bidi w:val="0"/>
        <w:spacing w:line="440" w:lineRule="exact"/>
        <w:ind w:leftChars="0"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汕头职业技术学院教师考核业绩计分说明</w:t>
      </w:r>
    </w:p>
    <w:p w14:paraId="048D93D8">
      <w:pPr>
        <w:keepNext w:val="0"/>
        <w:keepLines w:val="0"/>
        <w:pageBreakBefore w:val="0"/>
        <w:numPr>
          <w:ilvl w:val="0"/>
          <w:numId w:val="0"/>
        </w:numPr>
        <w:kinsoku/>
        <w:wordWrap/>
        <w:overflowPunct/>
        <w:topLinePunct w:val="0"/>
        <w:autoSpaceDE/>
        <w:autoSpaceDN/>
        <w:bidi w:val="0"/>
        <w:spacing w:line="440" w:lineRule="exact"/>
        <w:ind w:leftChars="0"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3．汕头职业技术学院教师公共服务工作量学时测算参考表</w:t>
      </w:r>
    </w:p>
    <w:p w14:paraId="413BAF9E">
      <w:pPr>
        <w:keepNext w:val="0"/>
        <w:keepLines w:val="0"/>
        <w:pageBreakBefore w:val="0"/>
        <w:kinsoku/>
        <w:wordWrap/>
        <w:overflowPunct/>
        <w:topLinePunct w:val="0"/>
        <w:autoSpaceDE/>
        <w:autoSpaceDN/>
        <w:bidi w:val="0"/>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4．汕头职业技术学院业绩认定申报表</w:t>
      </w:r>
    </w:p>
    <w:p w14:paraId="5755415D">
      <w:pPr>
        <w:keepNext w:val="0"/>
        <w:keepLines w:val="0"/>
        <w:pageBreakBefore w:val="0"/>
        <w:kinsoku/>
        <w:wordWrap/>
        <w:overflowPunct/>
        <w:topLinePunct w:val="0"/>
        <w:autoSpaceDE/>
        <w:autoSpaceDN/>
        <w:bidi w:val="0"/>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5．汕头职业技术学院教师岗位考核评分表</w:t>
      </w:r>
    </w:p>
    <w:p w14:paraId="3BDF5C54">
      <w:pPr>
        <w:keepNext w:val="0"/>
        <w:keepLines w:val="0"/>
        <w:pageBreakBefore w:val="0"/>
        <w:kinsoku/>
        <w:wordWrap/>
        <w:overflowPunct/>
        <w:topLinePunct w:val="0"/>
        <w:autoSpaceDE/>
        <w:autoSpaceDN/>
        <w:bidi w:val="0"/>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6．汕头市事业单位工作人员年度考核登记表</w:t>
      </w:r>
    </w:p>
    <w:p w14:paraId="525E76F3">
      <w:pPr>
        <w:keepNext w:val="0"/>
        <w:keepLines w:val="0"/>
        <w:pageBreakBefore w:val="0"/>
        <w:kinsoku/>
        <w:wordWrap/>
        <w:overflowPunct/>
        <w:topLinePunct w:val="0"/>
        <w:autoSpaceDE/>
        <w:autoSpaceDN/>
        <w:bidi w:val="0"/>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7．广东省事业单位工作人员聘期考核登记表</w:t>
      </w:r>
    </w:p>
    <w:p w14:paraId="622DC4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5B6C524E"/>
    <w:rsid w:val="5B6C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spacing w:line="561" w:lineRule="exact"/>
      <w:ind w:left="1181"/>
      <w:outlineLvl w:val="0"/>
    </w:pPr>
    <w:rPr>
      <w:rFonts w:ascii="宋体" w:hAnsi="宋体" w:eastAsia="宋体" w:cs="宋体"/>
      <w:b/>
      <w:bCs/>
      <w:sz w:val="28"/>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character" w:customStyle="1" w:styleId="6">
    <w:name w:val="标题 1 字符"/>
    <w:link w:val="2"/>
    <w:qFormat/>
    <w:uiPriority w:val="0"/>
    <w:rPr>
      <w:rFonts w:ascii="宋体" w:hAnsi="宋体" w:eastAsia="宋体" w:cs="宋体"/>
      <w:b/>
      <w:bCs/>
      <w:sz w:val="28"/>
      <w:szCs w:val="44"/>
    </w:rPr>
  </w:style>
  <w:style w:type="character" w:customStyle="1" w:styleId="7">
    <w:name w:val="NormalCharacter"/>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2024-08-13T15:16:00Z</dcterms:created>
  <dc:creator>WPS_1713152101</dc:creator>
  <cp:lastModifiedBy>WPS_1713152101</cp:lastModifiedBy>
  <dcterms:modified xsi:type="dcterms:W3CDTF">2024-08-13T15:17:15Z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D624D0EBB9424F57883F47B46741CCD9_11</vt:lpwstr>
  </property>
</Properties>
</file>