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A3D" w:rsidRDefault="00D56A3D" w:rsidP="00D56A3D">
      <w:pPr>
        <w:spacing w:line="560" w:lineRule="exact"/>
        <w:ind w:firstLineChars="200" w:firstLine="643"/>
        <w:rPr>
          <w:rFonts w:ascii="黑体" w:eastAsia="黑体" w:hAnsi="黑体" w:hint="eastAsia"/>
          <w:b/>
          <w:bCs/>
          <w:sz w:val="32"/>
          <w:szCs w:val="32"/>
        </w:rPr>
      </w:pPr>
      <w:r>
        <w:rPr>
          <w:rFonts w:ascii="黑体" w:eastAsia="黑体" w:hAnsi="黑体" w:hint="eastAsia"/>
          <w:b/>
          <w:bCs/>
          <w:sz w:val="32"/>
          <w:szCs w:val="32"/>
        </w:rPr>
        <w:t>五、服务贡献</w:t>
      </w:r>
    </w:p>
    <w:p w:rsidR="00D56A3D" w:rsidRDefault="00D56A3D" w:rsidP="00D56A3D">
      <w:pPr>
        <w:spacing w:line="560" w:lineRule="exact"/>
        <w:ind w:firstLineChars="200" w:firstLine="643"/>
        <w:rPr>
          <w:rFonts w:ascii="楷体" w:eastAsia="楷体" w:hAnsi="楷体" w:hint="eastAsia"/>
          <w:b/>
          <w:bCs/>
          <w:sz w:val="32"/>
          <w:szCs w:val="32"/>
        </w:rPr>
      </w:pPr>
      <w:r>
        <w:rPr>
          <w:rFonts w:ascii="楷体" w:eastAsia="楷体" w:hAnsi="楷体" w:hint="eastAsia"/>
          <w:b/>
          <w:bCs/>
          <w:sz w:val="32"/>
          <w:szCs w:val="32"/>
        </w:rPr>
        <w:t>（一）支持科技创新，促进产学研深度融合</w:t>
      </w:r>
    </w:p>
    <w:p w:rsidR="00D56A3D" w:rsidRDefault="00D56A3D" w:rsidP="00D56A3D">
      <w:pPr>
        <w:ind w:firstLineChars="202" w:firstLine="646"/>
        <w:rPr>
          <w:rFonts w:ascii="仿宋_GB2312" w:eastAsia="仿宋_GB2312" w:hAnsi="宋体" w:cs="宋体"/>
          <w:sz w:val="32"/>
          <w:szCs w:val="32"/>
        </w:rPr>
      </w:pPr>
      <w:r>
        <w:rPr>
          <w:rFonts w:ascii="仿宋_GB2312" w:eastAsia="仿宋_GB2312" w:hAnsi="宋体" w:cs="宋体" w:hint="eastAsia"/>
          <w:sz w:val="32"/>
          <w:szCs w:val="32"/>
        </w:rPr>
        <w:t>学院坚持</w:t>
      </w:r>
      <w:r>
        <w:rPr>
          <w:rFonts w:ascii="仿宋_GB2312" w:eastAsia="仿宋_GB2312" w:hAnsi="宋体" w:cs="宋体"/>
          <w:sz w:val="32"/>
          <w:szCs w:val="32"/>
        </w:rPr>
        <w:t>“</w:t>
      </w:r>
      <w:r>
        <w:rPr>
          <w:rFonts w:ascii="仿宋_GB2312" w:eastAsia="仿宋_GB2312" w:hAnsi="宋体" w:cs="宋体" w:hint="eastAsia"/>
          <w:sz w:val="32"/>
          <w:szCs w:val="32"/>
        </w:rPr>
        <w:t>教学是强院之本，科研是强院之路，学科是强院之基，人才是强院之源</w:t>
      </w:r>
      <w:r>
        <w:rPr>
          <w:rFonts w:ascii="仿宋_GB2312" w:eastAsia="仿宋_GB2312" w:hAnsi="宋体" w:cs="宋体"/>
          <w:sz w:val="32"/>
          <w:szCs w:val="32"/>
        </w:rPr>
        <w:t>”</w:t>
      </w:r>
      <w:r>
        <w:rPr>
          <w:rFonts w:ascii="仿宋_GB2312" w:eastAsia="仿宋_GB2312" w:hAnsi="宋体" w:cs="宋体" w:hint="eastAsia"/>
          <w:sz w:val="32"/>
          <w:szCs w:val="32"/>
        </w:rPr>
        <w:t>的科研发展理念，以</w:t>
      </w:r>
      <w:r>
        <w:rPr>
          <w:rFonts w:ascii="仿宋_GB2312" w:eastAsia="仿宋_GB2312" w:hAnsi="宋体" w:cs="宋体"/>
          <w:sz w:val="32"/>
          <w:szCs w:val="32"/>
        </w:rPr>
        <w:t>“</w:t>
      </w:r>
      <w:r>
        <w:rPr>
          <w:rFonts w:ascii="仿宋_GB2312" w:eastAsia="仿宋_GB2312" w:hAnsi="宋体" w:cs="宋体" w:hint="eastAsia"/>
          <w:sz w:val="32"/>
          <w:szCs w:val="32"/>
        </w:rPr>
        <w:t>扩大科研规模，提高科研总量，提升科研层次，增强科研实力</w:t>
      </w:r>
      <w:r>
        <w:rPr>
          <w:rFonts w:ascii="仿宋_GB2312" w:eastAsia="仿宋_GB2312" w:hAnsi="宋体" w:cs="宋体"/>
          <w:sz w:val="32"/>
          <w:szCs w:val="32"/>
        </w:rPr>
        <w:t>”</w:t>
      </w:r>
      <w:r>
        <w:rPr>
          <w:rFonts w:ascii="仿宋_GB2312" w:eastAsia="仿宋_GB2312" w:hAnsi="宋体" w:cs="宋体" w:hint="eastAsia"/>
          <w:sz w:val="32"/>
          <w:szCs w:val="32"/>
        </w:rPr>
        <w:t>为导向，精心组织各项科研工作，突出培育服务地方社会发展与产业经济的优势项目，凝练产学研深度融合的发展方向，加强与地方企业、行业共建科创基地，深化科技创新工作。</w:t>
      </w:r>
    </w:p>
    <w:p w:rsidR="00D56A3D" w:rsidRDefault="00D56A3D" w:rsidP="00D56A3D">
      <w:pPr>
        <w:ind w:firstLineChars="202" w:firstLine="646"/>
        <w:rPr>
          <w:rFonts w:ascii="仿宋_GB2312" w:eastAsia="仿宋_GB2312" w:hAnsi="宋体" w:cs="宋体"/>
          <w:sz w:val="32"/>
          <w:szCs w:val="32"/>
        </w:rPr>
      </w:pPr>
      <w:r>
        <w:rPr>
          <w:rFonts w:ascii="仿宋_GB2312" w:eastAsia="仿宋_GB2312" w:hAnsi="宋体" w:cs="宋体"/>
          <w:sz w:val="32"/>
          <w:szCs w:val="32"/>
        </w:rPr>
        <w:t>1.</w:t>
      </w:r>
      <w:r>
        <w:rPr>
          <w:rFonts w:ascii="仿宋_GB2312" w:eastAsia="仿宋_GB2312" w:hAnsi="宋体" w:cs="宋体" w:hint="eastAsia"/>
          <w:sz w:val="32"/>
          <w:szCs w:val="32"/>
        </w:rPr>
        <w:t>巩固服务地方经济文化建设的研究优势。</w:t>
      </w:r>
      <w:r>
        <w:rPr>
          <w:rFonts w:ascii="仿宋_GB2312" w:eastAsia="仿宋_GB2312" w:hAnsi="宋体" w:cs="宋体"/>
          <w:sz w:val="32"/>
          <w:szCs w:val="32"/>
        </w:rPr>
        <w:t>2017</w:t>
      </w:r>
      <w:r>
        <w:rPr>
          <w:rFonts w:ascii="仿宋_GB2312" w:eastAsia="仿宋_GB2312" w:hAnsi="宋体" w:cs="宋体" w:hint="eastAsia"/>
          <w:sz w:val="32"/>
          <w:szCs w:val="32"/>
        </w:rPr>
        <w:t>年，市社科规划项目创下学院立项数的最高值，</w:t>
      </w:r>
      <w:r>
        <w:rPr>
          <w:rFonts w:ascii="仿宋_GB2312" w:eastAsia="仿宋_GB2312" w:hAnsi="宋体" w:cs="宋体"/>
          <w:sz w:val="32"/>
          <w:szCs w:val="32"/>
        </w:rPr>
        <w:t>60%</w:t>
      </w:r>
      <w:r>
        <w:rPr>
          <w:rFonts w:ascii="仿宋_GB2312" w:eastAsia="仿宋_GB2312" w:hAnsi="宋体" w:cs="宋体" w:hint="eastAsia"/>
          <w:sz w:val="32"/>
          <w:szCs w:val="32"/>
        </w:rPr>
        <w:t>立项占比在汕头市高校和文化事业单位中名列前位。强化对接产业发展需求的</w:t>
      </w:r>
      <w:r>
        <w:rPr>
          <w:rFonts w:ascii="仿宋_GB2312" w:eastAsia="仿宋_GB2312" w:hAnsi="宋体" w:cs="宋体"/>
          <w:sz w:val="32"/>
          <w:szCs w:val="32"/>
        </w:rPr>
        <w:t>“</w:t>
      </w:r>
      <w:r>
        <w:rPr>
          <w:rFonts w:ascii="仿宋_GB2312" w:eastAsia="仿宋_GB2312" w:hAnsi="宋体" w:cs="宋体" w:hint="eastAsia"/>
          <w:sz w:val="32"/>
          <w:szCs w:val="32"/>
        </w:rPr>
        <w:t>应用型</w:t>
      </w:r>
      <w:r>
        <w:rPr>
          <w:rFonts w:ascii="仿宋_GB2312" w:eastAsia="仿宋_GB2312" w:hAnsi="宋体" w:cs="宋体"/>
          <w:sz w:val="32"/>
          <w:szCs w:val="32"/>
        </w:rPr>
        <w:t>”</w:t>
      </w:r>
      <w:r>
        <w:rPr>
          <w:rFonts w:ascii="仿宋_GB2312" w:eastAsia="仿宋_GB2312" w:hAnsi="宋体" w:cs="宋体" w:hint="eastAsia"/>
          <w:sz w:val="32"/>
          <w:szCs w:val="32"/>
        </w:rPr>
        <w:t>研究方向，</w:t>
      </w:r>
      <w:r>
        <w:rPr>
          <w:rFonts w:ascii="仿宋_GB2312" w:eastAsia="仿宋_GB2312" w:hAnsi="宋体" w:cs="宋体"/>
          <w:sz w:val="32"/>
          <w:szCs w:val="32"/>
        </w:rPr>
        <w:t>2017</w:t>
      </w:r>
      <w:r>
        <w:rPr>
          <w:rFonts w:ascii="仿宋_GB2312" w:eastAsia="仿宋_GB2312" w:hAnsi="宋体" w:cs="宋体" w:hint="eastAsia"/>
          <w:sz w:val="32"/>
          <w:szCs w:val="32"/>
        </w:rPr>
        <w:t>年的市科技计划项目立项数创下历史新高。市级科技计划项目成为青年教师以及科研团队凝练研究方向的试金石和试验场。学生的创新能力得到开发，自主承担的科研项目也取得重大突破，</w:t>
      </w:r>
      <w:r>
        <w:rPr>
          <w:rFonts w:ascii="仿宋_GB2312" w:eastAsia="仿宋_GB2312" w:hAnsi="宋体" w:cs="宋体"/>
          <w:sz w:val="32"/>
          <w:szCs w:val="32"/>
        </w:rPr>
        <w:t>2017</w:t>
      </w:r>
      <w:r>
        <w:rPr>
          <w:rFonts w:ascii="仿宋_GB2312" w:eastAsia="仿宋_GB2312" w:hAnsi="宋体" w:cs="宋体" w:hint="eastAsia"/>
          <w:sz w:val="32"/>
          <w:szCs w:val="32"/>
        </w:rPr>
        <w:t>年，学院共获</w:t>
      </w:r>
      <w:r>
        <w:rPr>
          <w:rFonts w:ascii="仿宋_GB2312" w:eastAsia="仿宋_GB2312" w:hAnsi="宋体" w:cs="宋体"/>
          <w:sz w:val="32"/>
          <w:szCs w:val="32"/>
        </w:rPr>
        <w:t>“</w:t>
      </w:r>
      <w:r>
        <w:rPr>
          <w:rFonts w:ascii="仿宋_GB2312" w:eastAsia="仿宋_GB2312" w:hAnsi="宋体" w:cs="宋体" w:hint="eastAsia"/>
          <w:sz w:val="32"/>
          <w:szCs w:val="32"/>
        </w:rPr>
        <w:t>广东大学生科技创新培育专项资金项目</w:t>
      </w:r>
      <w:r>
        <w:rPr>
          <w:rFonts w:ascii="仿宋_GB2312" w:eastAsia="仿宋_GB2312" w:hAnsi="宋体" w:cs="宋体"/>
          <w:sz w:val="32"/>
          <w:szCs w:val="32"/>
        </w:rPr>
        <w:t>”</w:t>
      </w:r>
      <w:r>
        <w:rPr>
          <w:rFonts w:ascii="仿宋_GB2312" w:eastAsia="仿宋_GB2312" w:hAnsi="宋体" w:cs="宋体" w:hint="eastAsia"/>
          <w:sz w:val="32"/>
          <w:szCs w:val="32"/>
        </w:rPr>
        <w:t>立项资助经费</w:t>
      </w:r>
      <w:r>
        <w:rPr>
          <w:rFonts w:ascii="仿宋_GB2312" w:eastAsia="仿宋_GB2312" w:hAnsi="宋体" w:cs="宋体"/>
          <w:sz w:val="32"/>
          <w:szCs w:val="32"/>
        </w:rPr>
        <w:t>9.5</w:t>
      </w:r>
      <w:r>
        <w:rPr>
          <w:rFonts w:ascii="仿宋_GB2312" w:eastAsia="仿宋_GB2312" w:hAnsi="宋体" w:cs="宋体" w:hint="eastAsia"/>
          <w:sz w:val="32"/>
          <w:szCs w:val="32"/>
        </w:rPr>
        <w:t>万元。</w:t>
      </w:r>
    </w:p>
    <w:p w:rsidR="00D56A3D" w:rsidRDefault="00D56A3D" w:rsidP="00D56A3D">
      <w:pPr>
        <w:ind w:firstLineChars="202" w:firstLine="646"/>
        <w:rPr>
          <w:rFonts w:ascii="仿宋_GB2312" w:eastAsia="仿宋_GB2312" w:hAnsi="宋体" w:cs="宋体"/>
          <w:sz w:val="32"/>
          <w:szCs w:val="32"/>
        </w:rPr>
      </w:pPr>
      <w:r>
        <w:rPr>
          <w:rFonts w:ascii="仿宋_GB2312" w:eastAsia="仿宋_GB2312" w:hAnsi="宋体" w:cs="宋体"/>
          <w:sz w:val="32"/>
          <w:szCs w:val="32"/>
        </w:rPr>
        <w:t>2.</w:t>
      </w:r>
      <w:r>
        <w:rPr>
          <w:rFonts w:ascii="仿宋_GB2312" w:eastAsia="仿宋_GB2312" w:hAnsi="宋体" w:cs="宋体" w:hint="eastAsia"/>
          <w:sz w:val="32"/>
          <w:szCs w:val="32"/>
        </w:rPr>
        <w:t>产学研深度融合加速发展，科技成果转化与产业化成效初显。青年科研团队科技研发与转化潜力深厚，产学研合作项目的数量和质量均取得重大突破。谢志刚老师带领团队为地方企业进行技术开发项目达</w:t>
      </w:r>
      <w:r>
        <w:rPr>
          <w:rFonts w:ascii="仿宋_GB2312" w:eastAsia="仿宋_GB2312" w:hAnsi="宋体" w:cs="宋体"/>
          <w:sz w:val="32"/>
          <w:szCs w:val="32"/>
        </w:rPr>
        <w:t>15</w:t>
      </w:r>
      <w:r>
        <w:rPr>
          <w:rFonts w:ascii="仿宋_GB2312" w:eastAsia="仿宋_GB2312" w:hAnsi="宋体" w:cs="宋体" w:hint="eastAsia"/>
          <w:sz w:val="32"/>
          <w:szCs w:val="32"/>
        </w:rPr>
        <w:t>项，陈壁波老师为承担技术开发项目</w:t>
      </w:r>
      <w:r>
        <w:rPr>
          <w:rFonts w:ascii="仿宋_GB2312" w:eastAsia="仿宋_GB2312" w:hAnsi="宋体" w:cs="宋体"/>
          <w:sz w:val="32"/>
          <w:szCs w:val="32"/>
        </w:rPr>
        <w:t>2</w:t>
      </w:r>
      <w:r>
        <w:rPr>
          <w:rFonts w:ascii="仿宋_GB2312" w:eastAsia="仿宋_GB2312" w:hAnsi="宋体" w:cs="宋体" w:hint="eastAsia"/>
          <w:sz w:val="32"/>
          <w:szCs w:val="32"/>
        </w:rPr>
        <w:t>项，以产学研合作带动专业建设。</w:t>
      </w:r>
    </w:p>
    <w:p w:rsidR="00D56A3D" w:rsidRDefault="00D56A3D" w:rsidP="00D56A3D">
      <w:pPr>
        <w:ind w:firstLineChars="202" w:firstLine="646"/>
        <w:rPr>
          <w:rFonts w:ascii="仿宋_GB2312" w:eastAsia="仿宋_GB2312" w:hAnsi="宋体" w:cs="宋体"/>
          <w:sz w:val="32"/>
          <w:szCs w:val="32"/>
        </w:rPr>
      </w:pPr>
      <w:r>
        <w:rPr>
          <w:rFonts w:ascii="仿宋_GB2312" w:eastAsia="仿宋_GB2312" w:hAnsi="宋体" w:cs="宋体"/>
          <w:sz w:val="32"/>
          <w:szCs w:val="32"/>
        </w:rPr>
        <w:lastRenderedPageBreak/>
        <w:t>3.</w:t>
      </w:r>
      <w:r>
        <w:rPr>
          <w:rFonts w:ascii="仿宋_GB2312" w:eastAsia="仿宋_GB2312" w:hAnsi="宋体" w:cs="宋体" w:hint="eastAsia"/>
          <w:sz w:val="32"/>
          <w:szCs w:val="32"/>
        </w:rPr>
        <w:t>搭建科技合作平台。学院着眼于高职院校的地方性特色，致力于打通政府、科技主管部门、高校和科研机构、地方企业行业的贯穿联动关系，积极主动地对接企业行业的科技创新需要，目前与贝多电磁公司共建研究所一个、与汕头市南粤专利商标事务所共建产学研基地一个。</w:t>
      </w:r>
    </w:p>
    <w:p w:rsidR="00D56A3D" w:rsidRDefault="00D56A3D" w:rsidP="00D56A3D">
      <w:pPr>
        <w:spacing w:line="560" w:lineRule="exact"/>
        <w:ind w:firstLineChars="199" w:firstLine="639"/>
        <w:rPr>
          <w:rFonts w:ascii="楷体" w:eastAsia="楷体" w:hAnsi="楷体" w:hint="eastAsia"/>
          <w:b/>
          <w:bCs/>
          <w:sz w:val="32"/>
          <w:szCs w:val="32"/>
        </w:rPr>
      </w:pPr>
      <w:bookmarkStart w:id="0" w:name="_Toc438197220"/>
      <w:bookmarkStart w:id="1" w:name="_Toc440219252"/>
      <w:r>
        <w:rPr>
          <w:rFonts w:ascii="楷体" w:eastAsia="楷体" w:hAnsi="楷体" w:hint="eastAsia"/>
          <w:b/>
          <w:bCs/>
          <w:sz w:val="32"/>
          <w:szCs w:val="32"/>
        </w:rPr>
        <w:t>（二）</w:t>
      </w:r>
      <w:bookmarkEnd w:id="0"/>
      <w:bookmarkEnd w:id="1"/>
      <w:r>
        <w:rPr>
          <w:rFonts w:ascii="楷体" w:eastAsia="楷体" w:hAnsi="楷体" w:hint="eastAsia"/>
          <w:b/>
          <w:bCs/>
          <w:sz w:val="32"/>
          <w:szCs w:val="32"/>
        </w:rPr>
        <w:t>注重项目培训，助力创建教育强市</w:t>
      </w:r>
    </w:p>
    <w:p w:rsidR="00D56A3D" w:rsidRDefault="00D56A3D" w:rsidP="00D56A3D">
      <w:pPr>
        <w:ind w:firstLineChars="202" w:firstLine="646"/>
        <w:rPr>
          <w:rFonts w:ascii="仿宋_GB2312" w:eastAsia="仿宋_GB2312"/>
          <w:sz w:val="32"/>
          <w:szCs w:val="32"/>
        </w:rPr>
      </w:pPr>
      <w:r>
        <w:rPr>
          <w:rFonts w:ascii="仿宋_GB2312" w:eastAsia="仿宋_GB2312" w:hAnsi="宋体" w:cs="宋体" w:hint="eastAsia"/>
          <w:sz w:val="32"/>
          <w:szCs w:val="32"/>
        </w:rPr>
        <w:t>学院遵循“服务社会、促进教学、促进科研、互惠互利”的原则，积极为地方经济、文化及社会事业发展提供服务。</w:t>
      </w:r>
      <w:r>
        <w:rPr>
          <w:rFonts w:ascii="仿宋_GB2312" w:eastAsia="仿宋_GB2312" w:hAnsi="宋体" w:cs="宋体"/>
          <w:sz w:val="32"/>
          <w:szCs w:val="32"/>
        </w:rPr>
        <w:t>2016-2017</w:t>
      </w:r>
      <w:r>
        <w:rPr>
          <w:rFonts w:ascii="仿宋_GB2312" w:eastAsia="仿宋_GB2312" w:hAnsi="宋体" w:cs="宋体" w:hint="eastAsia"/>
          <w:sz w:val="32"/>
          <w:szCs w:val="32"/>
        </w:rPr>
        <w:t>学年，现代教育技术中心承办汕头市中小学教师信息技术应用提升工程项目培训共</w:t>
      </w:r>
      <w:r>
        <w:rPr>
          <w:rFonts w:ascii="仿宋_GB2312" w:eastAsia="仿宋_GB2312" w:hAnsi="宋体" w:cs="宋体"/>
          <w:sz w:val="32"/>
          <w:szCs w:val="32"/>
        </w:rPr>
        <w:t>52460</w:t>
      </w:r>
      <w:r>
        <w:rPr>
          <w:rFonts w:ascii="仿宋_GB2312" w:eastAsia="仿宋_GB2312" w:hAnsi="宋体" w:cs="宋体" w:hint="eastAsia"/>
          <w:sz w:val="32"/>
          <w:szCs w:val="32"/>
        </w:rPr>
        <w:t>人，包括《</w:t>
      </w:r>
      <w:r>
        <w:rPr>
          <w:rFonts w:ascii="仿宋_GB2312" w:eastAsia="仿宋_GB2312" w:hAnsi="宋体" w:cs="宋体"/>
          <w:sz w:val="32"/>
          <w:szCs w:val="32"/>
        </w:rPr>
        <w:t>21</w:t>
      </w:r>
      <w:r>
        <w:rPr>
          <w:rFonts w:ascii="仿宋_GB2312" w:eastAsia="仿宋_GB2312" w:hAnsi="宋体" w:cs="宋体" w:hint="eastAsia"/>
          <w:sz w:val="32"/>
          <w:szCs w:val="32"/>
        </w:rPr>
        <w:t>世纪课堂评价》、《骨干研修课程》、《专业发展》、《信息化课堂中的合作学习》、《批判性学习》等五门课程。具体数据如下</w:t>
      </w:r>
      <w:r>
        <w:rPr>
          <w:rFonts w:ascii="仿宋_GB2312" w:eastAsia="仿宋_GB2312" w:hint="eastAsia"/>
          <w:sz w:val="32"/>
          <w:szCs w:val="32"/>
        </w:rPr>
        <w:t>：</w:t>
      </w:r>
    </w:p>
    <w:p w:rsidR="00D56A3D" w:rsidRPr="00E532EE" w:rsidRDefault="00D56A3D" w:rsidP="00D56A3D">
      <w:pPr>
        <w:spacing w:line="360" w:lineRule="auto"/>
        <w:jc w:val="center"/>
        <w:rPr>
          <w:rFonts w:ascii="宋体" w:hAnsi="宋体" w:cs="宋体"/>
          <w:sz w:val="28"/>
          <w:szCs w:val="28"/>
        </w:rPr>
      </w:pPr>
      <w:r w:rsidRPr="00E532EE">
        <w:rPr>
          <w:rFonts w:ascii="宋体" w:hAnsi="宋体" w:cs="宋体"/>
          <w:sz w:val="28"/>
          <w:szCs w:val="28"/>
        </w:rPr>
        <w:t>2016-2017</w:t>
      </w:r>
      <w:r w:rsidRPr="00E532EE">
        <w:rPr>
          <w:rFonts w:ascii="宋体" w:hAnsi="宋体" w:cs="宋体" w:hint="eastAsia"/>
          <w:sz w:val="28"/>
          <w:szCs w:val="28"/>
        </w:rPr>
        <w:t>学年提升工程项目培训情况</w:t>
      </w: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000"/>
      </w:tblPr>
      <w:tblGrid>
        <w:gridCol w:w="6533"/>
        <w:gridCol w:w="1742"/>
      </w:tblGrid>
      <w:tr w:rsidR="00D56A3D" w:rsidTr="00994D3D">
        <w:trPr>
          <w:trHeight w:val="552"/>
          <w:jc w:val="center"/>
        </w:trPr>
        <w:tc>
          <w:tcPr>
            <w:tcW w:w="6533" w:type="dxa"/>
            <w:tcBorders>
              <w:bottom w:val="single" w:sz="18" w:space="0" w:color="4BACC6"/>
            </w:tcBorders>
            <w:vAlign w:val="center"/>
          </w:tcPr>
          <w:p w:rsidR="00D56A3D" w:rsidRDefault="00D56A3D" w:rsidP="00994D3D">
            <w:pPr>
              <w:widowControl/>
              <w:rPr>
                <w:rFonts w:ascii="宋体" w:cs="宋体"/>
                <w:b/>
                <w:bCs/>
                <w:color w:val="000080"/>
                <w:kern w:val="0"/>
                <w:sz w:val="22"/>
              </w:rPr>
            </w:pPr>
            <w:r>
              <w:rPr>
                <w:rFonts w:ascii="宋体" w:hAnsi="宋体" w:cs="宋体" w:hint="eastAsia"/>
                <w:b/>
                <w:bCs/>
                <w:color w:val="000080"/>
                <w:kern w:val="0"/>
                <w:sz w:val="22"/>
              </w:rPr>
              <w:t>培训课程</w:t>
            </w:r>
          </w:p>
        </w:tc>
        <w:tc>
          <w:tcPr>
            <w:tcW w:w="1742" w:type="dxa"/>
            <w:tcBorders>
              <w:bottom w:val="single" w:sz="18" w:space="0" w:color="4BACC6"/>
            </w:tcBorders>
            <w:vAlign w:val="center"/>
          </w:tcPr>
          <w:p w:rsidR="00D56A3D" w:rsidRDefault="00D56A3D" w:rsidP="00994D3D">
            <w:pPr>
              <w:widowControl/>
              <w:rPr>
                <w:rFonts w:ascii="宋体" w:cs="宋体"/>
                <w:b/>
                <w:bCs/>
                <w:color w:val="000080"/>
                <w:kern w:val="0"/>
                <w:sz w:val="22"/>
              </w:rPr>
            </w:pPr>
            <w:r>
              <w:rPr>
                <w:rFonts w:ascii="宋体" w:hAnsi="宋体" w:cs="宋体" w:hint="eastAsia"/>
                <w:b/>
                <w:bCs/>
                <w:color w:val="000080"/>
                <w:kern w:val="0"/>
                <w:sz w:val="22"/>
              </w:rPr>
              <w:t>人数</w:t>
            </w:r>
          </w:p>
        </w:tc>
      </w:tr>
      <w:tr w:rsidR="00D56A3D" w:rsidTr="00994D3D">
        <w:trPr>
          <w:trHeight w:val="552"/>
          <w:jc w:val="center"/>
        </w:trPr>
        <w:tc>
          <w:tcPr>
            <w:tcW w:w="6533" w:type="dxa"/>
            <w:shd w:val="clear" w:color="auto" w:fill="D2EAF1"/>
            <w:vAlign w:val="center"/>
          </w:tcPr>
          <w:p w:rsidR="00D56A3D" w:rsidRDefault="00D56A3D" w:rsidP="00994D3D">
            <w:pPr>
              <w:widowControl/>
              <w:rPr>
                <w:rFonts w:ascii="宋体" w:cs="宋体"/>
                <w:b/>
                <w:bCs/>
                <w:color w:val="000080"/>
                <w:kern w:val="0"/>
                <w:sz w:val="22"/>
              </w:rPr>
            </w:pPr>
            <w:r>
              <w:rPr>
                <w:rFonts w:ascii="宋体" w:hAnsi="宋体" w:cs="宋体"/>
                <w:b/>
                <w:bCs/>
                <w:color w:val="000080"/>
                <w:kern w:val="0"/>
                <w:sz w:val="22"/>
              </w:rPr>
              <w:t>21</w:t>
            </w:r>
            <w:r>
              <w:rPr>
                <w:rFonts w:ascii="宋体" w:hAnsi="宋体" w:cs="宋体" w:hint="eastAsia"/>
                <w:b/>
                <w:bCs/>
                <w:color w:val="000080"/>
                <w:kern w:val="0"/>
                <w:sz w:val="22"/>
              </w:rPr>
              <w:t>世纪课堂评价</w:t>
            </w:r>
          </w:p>
        </w:tc>
        <w:tc>
          <w:tcPr>
            <w:tcW w:w="1742" w:type="dxa"/>
            <w:shd w:val="clear" w:color="auto" w:fill="D2EAF1"/>
            <w:vAlign w:val="center"/>
          </w:tcPr>
          <w:p w:rsidR="00D56A3D" w:rsidRDefault="00D56A3D" w:rsidP="00994D3D">
            <w:pPr>
              <w:widowControl/>
              <w:rPr>
                <w:rFonts w:ascii="宋体" w:cs="宋体"/>
                <w:b/>
                <w:color w:val="000080"/>
                <w:kern w:val="0"/>
                <w:sz w:val="22"/>
              </w:rPr>
            </w:pPr>
            <w:r>
              <w:rPr>
                <w:rFonts w:ascii="宋体" w:hAnsi="宋体" w:cs="宋体"/>
                <w:b/>
                <w:color w:val="000080"/>
                <w:kern w:val="0"/>
                <w:sz w:val="22"/>
              </w:rPr>
              <w:t>9550</w:t>
            </w:r>
          </w:p>
        </w:tc>
      </w:tr>
      <w:tr w:rsidR="00D56A3D" w:rsidTr="00994D3D">
        <w:trPr>
          <w:trHeight w:val="552"/>
          <w:jc w:val="center"/>
        </w:trPr>
        <w:tc>
          <w:tcPr>
            <w:tcW w:w="6533" w:type="dxa"/>
            <w:vAlign w:val="center"/>
          </w:tcPr>
          <w:p w:rsidR="00D56A3D" w:rsidRDefault="00D56A3D" w:rsidP="00994D3D">
            <w:pPr>
              <w:widowControl/>
              <w:rPr>
                <w:rFonts w:ascii="宋体" w:cs="宋体"/>
                <w:b/>
                <w:bCs/>
                <w:color w:val="000080"/>
                <w:kern w:val="0"/>
                <w:sz w:val="22"/>
              </w:rPr>
            </w:pPr>
            <w:r>
              <w:rPr>
                <w:rFonts w:ascii="宋体" w:hAnsi="宋体" w:cs="宋体" w:hint="eastAsia"/>
                <w:b/>
                <w:bCs/>
                <w:color w:val="000080"/>
                <w:kern w:val="0"/>
                <w:sz w:val="22"/>
              </w:rPr>
              <w:t>骨干研修课程</w:t>
            </w:r>
          </w:p>
        </w:tc>
        <w:tc>
          <w:tcPr>
            <w:tcW w:w="1742" w:type="dxa"/>
            <w:vAlign w:val="center"/>
          </w:tcPr>
          <w:p w:rsidR="00D56A3D" w:rsidRDefault="00D56A3D" w:rsidP="00994D3D">
            <w:pPr>
              <w:widowControl/>
              <w:rPr>
                <w:rFonts w:ascii="宋体" w:cs="宋体"/>
                <w:b/>
                <w:color w:val="000080"/>
                <w:kern w:val="0"/>
                <w:sz w:val="22"/>
              </w:rPr>
            </w:pPr>
            <w:r>
              <w:rPr>
                <w:rFonts w:ascii="宋体" w:hAnsi="宋体" w:cs="宋体"/>
                <w:b/>
                <w:color w:val="000080"/>
                <w:kern w:val="0"/>
                <w:sz w:val="22"/>
              </w:rPr>
              <w:t>85</w:t>
            </w:r>
          </w:p>
        </w:tc>
      </w:tr>
      <w:tr w:rsidR="00D56A3D" w:rsidTr="00994D3D">
        <w:trPr>
          <w:trHeight w:val="552"/>
          <w:jc w:val="center"/>
        </w:trPr>
        <w:tc>
          <w:tcPr>
            <w:tcW w:w="6533" w:type="dxa"/>
            <w:shd w:val="clear" w:color="auto" w:fill="D2EAF1"/>
            <w:vAlign w:val="center"/>
          </w:tcPr>
          <w:p w:rsidR="00D56A3D" w:rsidRDefault="00D56A3D" w:rsidP="00994D3D">
            <w:pPr>
              <w:widowControl/>
              <w:rPr>
                <w:rFonts w:ascii="宋体" w:cs="宋体"/>
                <w:b/>
                <w:bCs/>
                <w:color w:val="000080"/>
                <w:kern w:val="0"/>
                <w:sz w:val="22"/>
              </w:rPr>
            </w:pPr>
            <w:r>
              <w:rPr>
                <w:rFonts w:ascii="宋体" w:hAnsi="宋体" w:cs="宋体" w:hint="eastAsia"/>
                <w:b/>
                <w:bCs/>
                <w:color w:val="000080"/>
                <w:kern w:val="0"/>
                <w:sz w:val="22"/>
              </w:rPr>
              <w:t>专业发展</w:t>
            </w:r>
          </w:p>
        </w:tc>
        <w:tc>
          <w:tcPr>
            <w:tcW w:w="1742" w:type="dxa"/>
            <w:shd w:val="clear" w:color="auto" w:fill="D2EAF1"/>
            <w:vAlign w:val="center"/>
          </w:tcPr>
          <w:p w:rsidR="00D56A3D" w:rsidRDefault="00D56A3D" w:rsidP="00994D3D">
            <w:pPr>
              <w:widowControl/>
              <w:rPr>
                <w:rFonts w:ascii="宋体" w:cs="宋体"/>
                <w:b/>
                <w:color w:val="000080"/>
                <w:kern w:val="0"/>
                <w:sz w:val="22"/>
              </w:rPr>
            </w:pPr>
            <w:r>
              <w:rPr>
                <w:rFonts w:ascii="宋体" w:hAnsi="宋体" w:cs="宋体"/>
                <w:b/>
                <w:color w:val="000080"/>
                <w:kern w:val="0"/>
                <w:sz w:val="22"/>
              </w:rPr>
              <w:t>24003</w:t>
            </w:r>
          </w:p>
        </w:tc>
      </w:tr>
      <w:tr w:rsidR="00D56A3D" w:rsidTr="00994D3D">
        <w:trPr>
          <w:trHeight w:val="552"/>
          <w:jc w:val="center"/>
        </w:trPr>
        <w:tc>
          <w:tcPr>
            <w:tcW w:w="6533" w:type="dxa"/>
            <w:vAlign w:val="center"/>
          </w:tcPr>
          <w:p w:rsidR="00D56A3D" w:rsidRDefault="00D56A3D" w:rsidP="00994D3D">
            <w:pPr>
              <w:widowControl/>
              <w:rPr>
                <w:rFonts w:ascii="宋体" w:cs="宋体"/>
                <w:b/>
                <w:bCs/>
                <w:color w:val="000080"/>
                <w:kern w:val="0"/>
                <w:sz w:val="22"/>
              </w:rPr>
            </w:pPr>
            <w:r>
              <w:rPr>
                <w:rFonts w:ascii="宋体" w:hAnsi="宋体" w:cs="宋体" w:hint="eastAsia"/>
                <w:b/>
                <w:bCs/>
                <w:color w:val="000080"/>
                <w:kern w:val="0"/>
                <w:sz w:val="22"/>
              </w:rPr>
              <w:t>信息化课堂中的合作学习</w:t>
            </w:r>
          </w:p>
        </w:tc>
        <w:tc>
          <w:tcPr>
            <w:tcW w:w="1742" w:type="dxa"/>
            <w:vAlign w:val="center"/>
          </w:tcPr>
          <w:p w:rsidR="00D56A3D" w:rsidRDefault="00D56A3D" w:rsidP="00994D3D">
            <w:pPr>
              <w:widowControl/>
              <w:rPr>
                <w:rFonts w:ascii="宋体" w:cs="宋体"/>
                <w:b/>
                <w:color w:val="000080"/>
                <w:kern w:val="0"/>
                <w:sz w:val="22"/>
              </w:rPr>
            </w:pPr>
            <w:r>
              <w:rPr>
                <w:rFonts w:ascii="宋体" w:hAnsi="宋体" w:cs="宋体"/>
                <w:b/>
                <w:color w:val="000080"/>
                <w:kern w:val="0"/>
                <w:sz w:val="22"/>
              </w:rPr>
              <w:t>17953</w:t>
            </w:r>
          </w:p>
        </w:tc>
      </w:tr>
      <w:tr w:rsidR="00D56A3D" w:rsidTr="00994D3D">
        <w:trPr>
          <w:trHeight w:val="552"/>
          <w:jc w:val="center"/>
        </w:trPr>
        <w:tc>
          <w:tcPr>
            <w:tcW w:w="6533" w:type="dxa"/>
            <w:shd w:val="clear" w:color="auto" w:fill="D2EAF1"/>
            <w:vAlign w:val="center"/>
          </w:tcPr>
          <w:p w:rsidR="00D56A3D" w:rsidRDefault="00D56A3D" w:rsidP="00994D3D">
            <w:pPr>
              <w:widowControl/>
              <w:rPr>
                <w:rFonts w:ascii="宋体" w:cs="宋体"/>
                <w:b/>
                <w:bCs/>
                <w:color w:val="000080"/>
                <w:kern w:val="0"/>
                <w:sz w:val="22"/>
              </w:rPr>
            </w:pPr>
            <w:r>
              <w:rPr>
                <w:rFonts w:ascii="宋体" w:hAnsi="宋体" w:cs="宋体" w:hint="eastAsia"/>
                <w:b/>
                <w:bCs/>
                <w:color w:val="000080"/>
                <w:kern w:val="0"/>
                <w:sz w:val="22"/>
              </w:rPr>
              <w:t>批判性学习</w:t>
            </w:r>
          </w:p>
        </w:tc>
        <w:tc>
          <w:tcPr>
            <w:tcW w:w="1742" w:type="dxa"/>
            <w:shd w:val="clear" w:color="auto" w:fill="D2EAF1"/>
            <w:vAlign w:val="center"/>
          </w:tcPr>
          <w:p w:rsidR="00D56A3D" w:rsidRDefault="00D56A3D" w:rsidP="00994D3D">
            <w:pPr>
              <w:widowControl/>
              <w:rPr>
                <w:rFonts w:ascii="宋体" w:cs="宋体"/>
                <w:b/>
                <w:color w:val="000080"/>
                <w:kern w:val="0"/>
                <w:sz w:val="22"/>
              </w:rPr>
            </w:pPr>
            <w:r>
              <w:rPr>
                <w:rFonts w:ascii="宋体" w:hAnsi="宋体" w:cs="宋体"/>
                <w:b/>
                <w:color w:val="000080"/>
                <w:kern w:val="0"/>
                <w:sz w:val="22"/>
              </w:rPr>
              <w:t>869</w:t>
            </w:r>
          </w:p>
        </w:tc>
      </w:tr>
      <w:tr w:rsidR="00D56A3D" w:rsidTr="00994D3D">
        <w:trPr>
          <w:trHeight w:val="552"/>
          <w:jc w:val="center"/>
        </w:trPr>
        <w:tc>
          <w:tcPr>
            <w:tcW w:w="6533" w:type="dxa"/>
            <w:vAlign w:val="center"/>
          </w:tcPr>
          <w:p w:rsidR="00D56A3D" w:rsidRDefault="00D56A3D" w:rsidP="00994D3D">
            <w:pPr>
              <w:widowControl/>
              <w:rPr>
                <w:rFonts w:ascii="宋体" w:cs="宋体"/>
                <w:b/>
                <w:bCs/>
                <w:color w:val="000080"/>
                <w:kern w:val="0"/>
                <w:sz w:val="22"/>
              </w:rPr>
            </w:pPr>
            <w:r>
              <w:rPr>
                <w:rFonts w:ascii="宋体" w:hAnsi="宋体" w:cs="宋体" w:hint="eastAsia"/>
                <w:b/>
                <w:bCs/>
                <w:color w:val="000080"/>
                <w:kern w:val="0"/>
                <w:sz w:val="22"/>
              </w:rPr>
              <w:t>总计</w:t>
            </w:r>
          </w:p>
        </w:tc>
        <w:tc>
          <w:tcPr>
            <w:tcW w:w="1742" w:type="dxa"/>
            <w:vAlign w:val="center"/>
          </w:tcPr>
          <w:p w:rsidR="00D56A3D" w:rsidRDefault="00D56A3D" w:rsidP="00994D3D">
            <w:pPr>
              <w:widowControl/>
              <w:rPr>
                <w:rFonts w:ascii="宋体" w:cs="宋体"/>
                <w:b/>
                <w:bCs/>
                <w:color w:val="000080"/>
                <w:kern w:val="0"/>
                <w:sz w:val="22"/>
              </w:rPr>
            </w:pPr>
            <w:r>
              <w:rPr>
                <w:rFonts w:ascii="宋体" w:hAnsi="宋体" w:cs="宋体"/>
                <w:b/>
                <w:bCs/>
                <w:color w:val="000080"/>
                <w:kern w:val="0"/>
                <w:sz w:val="22"/>
              </w:rPr>
              <w:t>52460</w:t>
            </w:r>
          </w:p>
        </w:tc>
      </w:tr>
    </w:tbl>
    <w:p w:rsidR="00D56A3D" w:rsidRDefault="00D56A3D" w:rsidP="00D56A3D">
      <w:pPr>
        <w:ind w:firstLineChars="202" w:firstLine="646"/>
        <w:rPr>
          <w:rFonts w:ascii="仿宋_GB2312" w:eastAsia="仿宋_GB2312" w:hint="eastAsia"/>
          <w:sz w:val="32"/>
          <w:szCs w:val="32"/>
        </w:rPr>
      </w:pPr>
      <w:r>
        <w:rPr>
          <w:rFonts w:ascii="仿宋_GB2312" w:eastAsia="仿宋_GB2312" w:hint="eastAsia"/>
          <w:sz w:val="32"/>
          <w:szCs w:val="32"/>
        </w:rPr>
        <w:t>培训注重教学创新和教学改革，运用现代教育信息化平台学习模式，采用自主学习、协同发展、交流互进的学习方式，不断进行新的教学探索和实践，鼓励受训教师将培训成</w:t>
      </w:r>
      <w:r>
        <w:rPr>
          <w:rFonts w:ascii="仿宋_GB2312" w:eastAsia="仿宋_GB2312" w:hint="eastAsia"/>
          <w:sz w:val="32"/>
          <w:szCs w:val="32"/>
        </w:rPr>
        <w:lastRenderedPageBreak/>
        <w:t>果应用到课堂教学改革中，累积形成了一套具有汕头特色的项目经验和亮点，得到广大教师的认可和上级部门的肯定，总结出被全省各地培训主讲教师称为“汕头模式”的培训教学实施方法，成为培训教学创新和教学改革的成果，</w:t>
      </w:r>
      <w:r>
        <w:rPr>
          <w:rFonts w:ascii="仿宋_GB2312" w:eastAsia="仿宋_GB2312" w:hAnsi="宋体" w:cs="宋体" w:hint="eastAsia"/>
          <w:sz w:val="32"/>
          <w:szCs w:val="32"/>
        </w:rPr>
        <w:t>为助力汕头创建教育强区</w:t>
      </w:r>
      <w:r>
        <w:rPr>
          <w:rFonts w:ascii="仿宋_GB2312" w:eastAsia="仿宋_GB2312" w:hint="eastAsia"/>
          <w:sz w:val="32"/>
          <w:szCs w:val="32"/>
        </w:rPr>
        <w:t>（市）做出贡献。</w:t>
      </w:r>
    </w:p>
    <w:p w:rsidR="00D56A3D" w:rsidRDefault="00D56A3D" w:rsidP="00D56A3D">
      <w:pPr>
        <w:spacing w:line="560" w:lineRule="exact"/>
        <w:ind w:firstLineChars="199" w:firstLine="639"/>
        <w:rPr>
          <w:rFonts w:ascii="楷体" w:eastAsia="楷体" w:hAnsi="楷体" w:hint="eastAsia"/>
          <w:b/>
          <w:bCs/>
          <w:sz w:val="32"/>
          <w:szCs w:val="32"/>
        </w:rPr>
      </w:pPr>
      <w:r>
        <w:rPr>
          <w:rFonts w:ascii="楷体" w:eastAsia="楷体" w:hAnsi="楷体" w:hint="eastAsia"/>
          <w:b/>
          <w:bCs/>
          <w:sz w:val="32"/>
          <w:szCs w:val="32"/>
        </w:rPr>
        <w:t>（三）开展结对扶贫，服务美丽乡村建设</w:t>
      </w:r>
    </w:p>
    <w:p w:rsidR="00D56A3D" w:rsidRDefault="00D56A3D" w:rsidP="00D56A3D">
      <w:pPr>
        <w:ind w:firstLineChars="202" w:firstLine="646"/>
        <w:rPr>
          <w:rFonts w:ascii="仿宋_GB2312" w:eastAsia="仿宋_GB2312" w:hint="eastAsia"/>
          <w:sz w:val="32"/>
          <w:szCs w:val="32"/>
        </w:rPr>
      </w:pPr>
      <w:r>
        <w:rPr>
          <w:rFonts w:ascii="仿宋_GB2312" w:eastAsia="仿宋_GB2312" w:hint="eastAsia"/>
          <w:sz w:val="32"/>
          <w:szCs w:val="32"/>
        </w:rPr>
        <w:t>为发挥职业院校技能优势，顺应国家国家扶贫攻坚战略要求，学院响应汕头市“百村示范、千村整治”美丽乡村建设三年大行动，立足地方科技和产业需求，发挥出汕职院在专业知识、人才物质、技术装备等方面的特长和优势，出智出资出力，为贫困村经济建设服务，建设美丽乡村。</w:t>
      </w:r>
    </w:p>
    <w:p w:rsidR="00D56A3D" w:rsidRPr="00636027" w:rsidRDefault="00D56A3D" w:rsidP="00D56A3D">
      <w:pPr>
        <w:ind w:firstLineChars="202" w:firstLine="646"/>
        <w:rPr>
          <w:rFonts w:ascii="黑体" w:eastAsia="黑体" w:hAnsi="黑体" w:hint="eastAsia"/>
          <w:spacing w:val="-4"/>
          <w:sz w:val="32"/>
          <w:szCs w:val="32"/>
        </w:rPr>
      </w:pPr>
      <w:r>
        <w:rPr>
          <w:rFonts w:ascii="黑体" w:eastAsia="黑体" w:hAnsi="黑体" w:hint="eastAsia"/>
          <w:sz w:val="32"/>
          <w:szCs w:val="32"/>
        </w:rPr>
        <w:t>案例15：</w:t>
      </w:r>
      <w:r w:rsidRPr="00636027">
        <w:rPr>
          <w:rFonts w:ascii="黑体" w:eastAsia="黑体" w:hAnsi="黑体" w:hint="eastAsia"/>
          <w:spacing w:val="-4"/>
          <w:sz w:val="32"/>
          <w:szCs w:val="32"/>
        </w:rPr>
        <w:t>学院帮助玉石社区开展农村人居生态环境综合整治</w:t>
      </w:r>
    </w:p>
    <w:p w:rsidR="00D56A3D" w:rsidRDefault="00D56A3D" w:rsidP="00D56A3D">
      <w:pPr>
        <w:ind w:firstLineChars="202" w:firstLine="646"/>
        <w:rPr>
          <w:rFonts w:ascii="仿宋_GB2312" w:eastAsia="仿宋_GB2312" w:hAnsi="宋体" w:cs="宋体" w:hint="eastAsia"/>
          <w:sz w:val="32"/>
          <w:szCs w:val="32"/>
        </w:rPr>
      </w:pPr>
      <w:r>
        <w:rPr>
          <w:rFonts w:ascii="仿宋_GB2312" w:eastAsia="仿宋_GB2312" w:hAnsi="宋体" w:cs="宋体" w:hint="eastAsia"/>
          <w:sz w:val="32"/>
          <w:szCs w:val="32"/>
        </w:rPr>
        <w:t xml:space="preserve">2017年3月以来，学院不遗余力支持挂钩联系帮扶社区， </w:t>
      </w:r>
    </w:p>
    <w:p w:rsidR="00D56A3D" w:rsidRDefault="00D56A3D" w:rsidP="00D56A3D">
      <w:pPr>
        <w:rPr>
          <w:rFonts w:ascii="仿宋_GB2312" w:eastAsia="仿宋_GB2312" w:hAnsi="宋体" w:cs="宋体" w:hint="eastAsia"/>
          <w:sz w:val="32"/>
          <w:szCs w:val="32"/>
        </w:rPr>
      </w:pPr>
      <w:r>
        <w:rPr>
          <w:noProof/>
        </w:rPr>
        <w:drawing>
          <wp:anchor distT="0" distB="0" distL="114300" distR="114300" simplePos="0" relativeHeight="251660288" behindDoc="0" locked="0" layoutInCell="1" allowOverlap="1">
            <wp:simplePos x="0" y="0"/>
            <wp:positionH relativeFrom="column">
              <wp:posOffset>506730</wp:posOffset>
            </wp:positionH>
            <wp:positionV relativeFrom="paragraph">
              <wp:posOffset>51435</wp:posOffset>
            </wp:positionV>
            <wp:extent cx="4511040" cy="2948940"/>
            <wp:effectExtent l="19050" t="0" r="3810" b="0"/>
            <wp:wrapNone/>
            <wp:docPr id="2" name="图片 7" descr="DSC0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DSC01424"/>
                    <pic:cNvPicPr>
                      <a:picLocks noChangeAspect="1" noChangeArrowheads="1"/>
                    </pic:cNvPicPr>
                  </pic:nvPicPr>
                  <pic:blipFill>
                    <a:blip r:embed="rId6" cstate="print"/>
                    <a:srcRect/>
                    <a:stretch>
                      <a:fillRect/>
                    </a:stretch>
                  </pic:blipFill>
                  <pic:spPr bwMode="auto">
                    <a:xfrm>
                      <a:off x="0" y="0"/>
                      <a:ext cx="4511040" cy="2948940"/>
                    </a:xfrm>
                    <a:prstGeom prst="rect">
                      <a:avLst/>
                    </a:prstGeom>
                    <a:noFill/>
                    <a:ln w="9525">
                      <a:noFill/>
                      <a:miter lim="800000"/>
                      <a:headEnd/>
                      <a:tailEnd/>
                    </a:ln>
                  </pic:spPr>
                </pic:pic>
              </a:graphicData>
            </a:graphic>
          </wp:anchor>
        </w:drawing>
      </w:r>
    </w:p>
    <w:p w:rsidR="00D56A3D" w:rsidRDefault="00D56A3D" w:rsidP="00D56A3D">
      <w:pPr>
        <w:rPr>
          <w:rFonts w:ascii="仿宋_GB2312" w:eastAsia="仿宋_GB2312" w:hAnsi="宋体" w:cs="宋体" w:hint="eastAsia"/>
          <w:sz w:val="32"/>
          <w:szCs w:val="32"/>
        </w:rPr>
      </w:pPr>
    </w:p>
    <w:p w:rsidR="00D56A3D" w:rsidRDefault="00D56A3D" w:rsidP="00D56A3D">
      <w:pPr>
        <w:rPr>
          <w:rFonts w:ascii="仿宋_GB2312" w:eastAsia="仿宋_GB2312" w:hAnsi="宋体" w:cs="宋体" w:hint="eastAsia"/>
          <w:sz w:val="32"/>
          <w:szCs w:val="32"/>
        </w:rPr>
      </w:pPr>
    </w:p>
    <w:p w:rsidR="00D56A3D" w:rsidRDefault="00D56A3D" w:rsidP="00D56A3D">
      <w:pPr>
        <w:rPr>
          <w:rFonts w:ascii="仿宋_GB2312" w:eastAsia="仿宋_GB2312" w:hAnsi="宋体" w:cs="宋体" w:hint="eastAsia"/>
          <w:sz w:val="32"/>
          <w:szCs w:val="32"/>
        </w:rPr>
      </w:pPr>
    </w:p>
    <w:p w:rsidR="00D56A3D" w:rsidRDefault="00D56A3D" w:rsidP="00D56A3D">
      <w:pPr>
        <w:rPr>
          <w:rFonts w:ascii="仿宋_GB2312" w:eastAsia="仿宋_GB2312" w:hAnsi="宋体" w:cs="宋体" w:hint="eastAsia"/>
          <w:sz w:val="32"/>
          <w:szCs w:val="32"/>
        </w:rPr>
      </w:pPr>
    </w:p>
    <w:p w:rsidR="00D56A3D" w:rsidRDefault="00D56A3D" w:rsidP="00D56A3D">
      <w:pPr>
        <w:rPr>
          <w:rFonts w:ascii="仿宋_GB2312" w:eastAsia="仿宋_GB2312" w:hAnsi="宋体" w:cs="宋体" w:hint="eastAsia"/>
          <w:sz w:val="32"/>
          <w:szCs w:val="32"/>
        </w:rPr>
      </w:pPr>
    </w:p>
    <w:p w:rsidR="00D56A3D" w:rsidRDefault="00D56A3D" w:rsidP="00D56A3D">
      <w:pPr>
        <w:rPr>
          <w:rFonts w:ascii="仿宋_GB2312" w:eastAsia="仿宋_GB2312" w:hAnsi="宋体" w:cs="宋体" w:hint="eastAsia"/>
          <w:sz w:val="32"/>
          <w:szCs w:val="32"/>
        </w:rPr>
      </w:pPr>
    </w:p>
    <w:p w:rsidR="00D56A3D" w:rsidRDefault="00D56A3D" w:rsidP="00D56A3D">
      <w:pPr>
        <w:rPr>
          <w:rFonts w:ascii="仿宋_GB2312" w:eastAsia="仿宋_GB2312" w:hAnsi="宋体" w:cs="宋体" w:hint="eastAsia"/>
          <w:sz w:val="32"/>
          <w:szCs w:val="32"/>
        </w:rPr>
      </w:pPr>
    </w:p>
    <w:p w:rsidR="00D56A3D" w:rsidRDefault="00D56A3D" w:rsidP="00D56A3D">
      <w:pPr>
        <w:rPr>
          <w:rFonts w:ascii="仿宋_GB2312" w:eastAsia="仿宋_GB2312" w:hAnsi="宋体" w:cs="宋体" w:hint="eastAsia"/>
          <w:sz w:val="32"/>
          <w:szCs w:val="32"/>
        </w:rPr>
      </w:pPr>
      <w:r>
        <w:rPr>
          <w:rFonts w:ascii="仿宋_GB2312" w:eastAsia="仿宋_GB2312" w:hAnsi="宋体" w:cs="宋体" w:hint="eastAsia"/>
          <w:sz w:val="32"/>
          <w:szCs w:val="32"/>
        </w:rPr>
        <w:lastRenderedPageBreak/>
        <w:t>对口帮扶汕头市达濠区玉兴街道玉石社区，并按照着力开展三项整治和九项建设，按照三年大行动工作方案的要求，对照示范社区的重点建设任务，从教育服务、环境整治、村容村貌等方面全面推进扶贫建设。</w:t>
      </w:r>
    </w:p>
    <w:p w:rsidR="00D56A3D" w:rsidRDefault="00D56A3D" w:rsidP="00D56A3D">
      <w:pPr>
        <w:spacing w:line="560" w:lineRule="exact"/>
        <w:ind w:firstLineChars="199" w:firstLine="639"/>
        <w:rPr>
          <w:rFonts w:ascii="楷体" w:eastAsia="楷体" w:hAnsi="楷体" w:hint="eastAsia"/>
          <w:b/>
          <w:bCs/>
          <w:sz w:val="32"/>
          <w:szCs w:val="32"/>
        </w:rPr>
      </w:pPr>
      <w:r>
        <w:rPr>
          <w:rFonts w:ascii="楷体" w:eastAsia="楷体" w:hAnsi="楷体" w:hint="eastAsia"/>
          <w:b/>
          <w:bCs/>
          <w:sz w:val="32"/>
          <w:szCs w:val="32"/>
        </w:rPr>
        <w:t>（四）加强政校合作，助推地方经济发展</w:t>
      </w:r>
    </w:p>
    <w:p w:rsidR="00D56A3D" w:rsidRDefault="00D56A3D" w:rsidP="00D56A3D">
      <w:pPr>
        <w:spacing w:line="500" w:lineRule="exact"/>
        <w:ind w:firstLineChars="202" w:firstLine="646"/>
        <w:rPr>
          <w:rFonts w:ascii="仿宋_GB2312" w:eastAsia="仿宋_GB2312" w:hAnsi="宋体" w:cs="宋体" w:hint="eastAsia"/>
          <w:sz w:val="32"/>
          <w:szCs w:val="32"/>
        </w:rPr>
      </w:pPr>
      <w:r>
        <w:rPr>
          <w:rFonts w:ascii="仿宋_GB2312" w:eastAsia="仿宋_GB2312" w:hAnsi="宋体" w:cs="宋体" w:hint="eastAsia"/>
          <w:sz w:val="32"/>
          <w:szCs w:val="32"/>
        </w:rPr>
        <w:t>立足地方，服务地方，积极发挥学院在粤东的重要影响力，是学院办学的重要方面。近年来，学院积极配合地方发展，主动开展政校合作，全方位释放学院在教育、人才、技术、咨政等服务地方方面的功能，有效助推地方经济发展，取得了显著的成绩。</w:t>
      </w:r>
    </w:p>
    <w:p w:rsidR="00D56A3D" w:rsidRDefault="00D56A3D" w:rsidP="00D56A3D">
      <w:pPr>
        <w:spacing w:line="500" w:lineRule="exact"/>
        <w:jc w:val="left"/>
        <w:rPr>
          <w:rFonts w:ascii="黑体" w:eastAsia="黑体" w:hAnsi="黑体" w:hint="eastAsia"/>
          <w:sz w:val="32"/>
          <w:szCs w:val="32"/>
        </w:rPr>
      </w:pPr>
      <w:r>
        <w:rPr>
          <w:rFonts w:ascii="黑体" w:eastAsia="黑体" w:hAnsi="黑体" w:hint="eastAsia"/>
          <w:sz w:val="32"/>
          <w:szCs w:val="32"/>
        </w:rPr>
        <w:t xml:space="preserve">    案例16：献智献策，全力服务汕头“侨梦苑”建设</w:t>
      </w:r>
    </w:p>
    <w:p w:rsidR="00D56A3D" w:rsidRDefault="00D56A3D" w:rsidP="00D56A3D">
      <w:pPr>
        <w:spacing w:line="560" w:lineRule="exact"/>
        <w:ind w:firstLineChars="202" w:firstLine="646"/>
        <w:rPr>
          <w:rFonts w:ascii="仿宋_GB2312" w:eastAsia="仿宋_GB2312" w:hAnsi="宋体" w:cs="宋体" w:hint="eastAsia"/>
          <w:sz w:val="32"/>
          <w:szCs w:val="32"/>
        </w:rPr>
      </w:pPr>
      <w:r>
        <w:rPr>
          <w:rFonts w:ascii="仿宋_GB2312" w:eastAsia="仿宋_GB2312" w:hAnsi="宋体" w:cs="宋体" w:hint="eastAsia"/>
          <w:sz w:val="32"/>
          <w:szCs w:val="32"/>
        </w:rPr>
        <w:t>2017年2月以来，学院响应汕头市号召海内外潮汕乡亲回乡投资兴业，振兴家乡的战略部署，积极参与汕头“侨梦苑”的建设。学院华侨经济文化研究所与汕头华侨试验区开展合作，并受委托参与华侨试验区撰写“侨梦苑”可行性报告和建设方案，以学院华侨经济文化研究所副所长宋金芳博士为主体的团队高质量完成任务，为汕头“侨梦苑”建设作出了应有的贡献。</w:t>
      </w:r>
    </w:p>
    <w:p w:rsidR="00D56A3D" w:rsidRDefault="00D56A3D" w:rsidP="00D56A3D">
      <w:pPr>
        <w:spacing w:line="560" w:lineRule="exact"/>
        <w:ind w:firstLineChars="202" w:firstLine="465"/>
        <w:rPr>
          <w:rFonts w:hint="eastAsia"/>
          <w:color w:val="4D4F53"/>
          <w:spacing w:val="13"/>
          <w:sz w:val="23"/>
          <w:szCs w:val="23"/>
          <w:shd w:val="clear" w:color="auto" w:fill="FFFFFF"/>
        </w:rPr>
      </w:pPr>
      <w:r>
        <w:rPr>
          <w:rFonts w:hint="eastAsia"/>
          <w:noProof/>
          <w:color w:val="4D4F53"/>
          <w:spacing w:val="13"/>
          <w:sz w:val="23"/>
          <w:szCs w:val="23"/>
        </w:rPr>
        <w:drawing>
          <wp:anchor distT="0" distB="0" distL="114300" distR="114300" simplePos="0" relativeHeight="251661312" behindDoc="0" locked="0" layoutInCell="1" allowOverlap="1">
            <wp:simplePos x="0" y="0"/>
            <wp:positionH relativeFrom="column">
              <wp:posOffset>278130</wp:posOffset>
            </wp:positionH>
            <wp:positionV relativeFrom="paragraph">
              <wp:posOffset>126365</wp:posOffset>
            </wp:positionV>
            <wp:extent cx="5250180" cy="3262630"/>
            <wp:effectExtent l="19050" t="0" r="7620" b="0"/>
            <wp:wrapNone/>
            <wp:docPr id="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
                    <pic:cNvPicPr>
                      <a:picLocks noChangeAspect="1" noChangeArrowheads="1"/>
                    </pic:cNvPicPr>
                  </pic:nvPicPr>
                  <pic:blipFill>
                    <a:blip r:embed="rId7" cstate="print"/>
                    <a:srcRect/>
                    <a:stretch>
                      <a:fillRect/>
                    </a:stretch>
                  </pic:blipFill>
                  <pic:spPr bwMode="auto">
                    <a:xfrm>
                      <a:off x="0" y="0"/>
                      <a:ext cx="5250180" cy="3262630"/>
                    </a:xfrm>
                    <a:prstGeom prst="rect">
                      <a:avLst/>
                    </a:prstGeom>
                    <a:noFill/>
                    <a:ln w="9525">
                      <a:noFill/>
                      <a:miter lim="800000"/>
                      <a:headEnd/>
                      <a:tailEnd/>
                    </a:ln>
                    <a:effectLst/>
                  </pic:spPr>
                </pic:pic>
              </a:graphicData>
            </a:graphic>
          </wp:anchor>
        </w:drawing>
      </w:r>
    </w:p>
    <w:p w:rsidR="00D56A3D" w:rsidRDefault="00D56A3D" w:rsidP="00D56A3D">
      <w:pPr>
        <w:spacing w:line="560" w:lineRule="exact"/>
        <w:ind w:firstLineChars="202" w:firstLine="517"/>
        <w:rPr>
          <w:rFonts w:hint="eastAsia"/>
          <w:color w:val="4D4F53"/>
          <w:spacing w:val="13"/>
          <w:sz w:val="23"/>
          <w:szCs w:val="23"/>
          <w:shd w:val="clear" w:color="auto" w:fill="FFFFFF"/>
        </w:rPr>
      </w:pPr>
    </w:p>
    <w:p w:rsidR="00D56A3D" w:rsidRDefault="00D56A3D" w:rsidP="00D56A3D">
      <w:pPr>
        <w:spacing w:line="560" w:lineRule="exact"/>
        <w:ind w:firstLineChars="202" w:firstLine="517"/>
        <w:rPr>
          <w:rFonts w:hint="eastAsia"/>
          <w:color w:val="4D4F53"/>
          <w:spacing w:val="13"/>
          <w:sz w:val="23"/>
          <w:szCs w:val="23"/>
          <w:shd w:val="clear" w:color="auto" w:fill="FFFFFF"/>
        </w:rPr>
      </w:pPr>
    </w:p>
    <w:p w:rsidR="00D56A3D" w:rsidRDefault="00D56A3D" w:rsidP="00D56A3D">
      <w:pPr>
        <w:spacing w:line="560" w:lineRule="exact"/>
        <w:ind w:firstLineChars="202" w:firstLine="517"/>
        <w:rPr>
          <w:rFonts w:hint="eastAsia"/>
          <w:color w:val="4D4F53"/>
          <w:spacing w:val="13"/>
          <w:sz w:val="23"/>
          <w:szCs w:val="23"/>
          <w:shd w:val="clear" w:color="auto" w:fill="FFFFFF"/>
        </w:rPr>
      </w:pPr>
    </w:p>
    <w:p w:rsidR="00D56A3D" w:rsidRDefault="00D56A3D" w:rsidP="00D56A3D">
      <w:pPr>
        <w:spacing w:line="560" w:lineRule="exact"/>
        <w:ind w:firstLineChars="202" w:firstLine="517"/>
        <w:rPr>
          <w:rFonts w:hint="eastAsia"/>
          <w:color w:val="4D4F53"/>
          <w:spacing w:val="13"/>
          <w:sz w:val="23"/>
          <w:szCs w:val="23"/>
          <w:shd w:val="clear" w:color="auto" w:fill="FFFFFF"/>
        </w:rPr>
      </w:pPr>
    </w:p>
    <w:p w:rsidR="00D56A3D" w:rsidRDefault="00D56A3D" w:rsidP="00D56A3D">
      <w:pPr>
        <w:spacing w:line="560" w:lineRule="exact"/>
        <w:ind w:firstLineChars="202" w:firstLine="517"/>
        <w:rPr>
          <w:rFonts w:hint="eastAsia"/>
          <w:color w:val="4D4F53"/>
          <w:spacing w:val="13"/>
          <w:sz w:val="23"/>
          <w:szCs w:val="23"/>
          <w:shd w:val="clear" w:color="auto" w:fill="FFFFFF"/>
        </w:rPr>
      </w:pPr>
    </w:p>
    <w:p w:rsidR="00D56A3D" w:rsidRDefault="00D56A3D" w:rsidP="00D56A3D">
      <w:pPr>
        <w:rPr>
          <w:rFonts w:ascii="黑体" w:eastAsia="黑体" w:hAnsi="黑体" w:hint="eastAsia"/>
          <w:sz w:val="32"/>
          <w:szCs w:val="32"/>
        </w:rPr>
      </w:pPr>
    </w:p>
    <w:p w:rsidR="00D56A3D" w:rsidRPr="00CB4FD8" w:rsidRDefault="00D56A3D" w:rsidP="00D56A3D">
      <w:pPr>
        <w:jc w:val="center"/>
        <w:rPr>
          <w:rFonts w:ascii="黑体" w:eastAsia="黑体" w:hAnsi="黑体" w:hint="eastAsia"/>
          <w:sz w:val="32"/>
          <w:szCs w:val="32"/>
        </w:rPr>
      </w:pPr>
      <w:r>
        <w:rPr>
          <w:rFonts w:ascii="黑体" w:eastAsia="黑体" w:hAnsi="黑体" w:hint="eastAsia"/>
          <w:sz w:val="32"/>
          <w:szCs w:val="32"/>
        </w:rPr>
        <w:lastRenderedPageBreak/>
        <w:t>案例17：学院与濠江区签订政校企战略合作框架协议</w:t>
      </w:r>
    </w:p>
    <w:p w:rsidR="00D56A3D" w:rsidRDefault="00D56A3D" w:rsidP="00D56A3D">
      <w:pPr>
        <w:ind w:firstLineChars="202" w:firstLine="646"/>
        <w:rPr>
          <w:rFonts w:ascii="仿宋_GB2312" w:eastAsia="仿宋_GB2312" w:hAnsi="宋体" w:cs="宋体" w:hint="eastAsia"/>
          <w:sz w:val="32"/>
          <w:szCs w:val="32"/>
        </w:rPr>
      </w:pPr>
      <w:r>
        <w:rPr>
          <w:rFonts w:ascii="仿宋_GB2312" w:eastAsia="仿宋_GB2312" w:hAnsi="宋体" w:cs="宋体" w:hint="eastAsia"/>
          <w:sz w:val="32"/>
          <w:szCs w:val="32"/>
        </w:rPr>
        <w:t>2017年4月28日，学院与濠江区签订政校企战略合作框架协议，双方将围绕“人才·产业”发展问题，定期或不定期举行研讨活动，研究人才培养与产业发展结合对接问题，并形成合作机制；</w:t>
      </w:r>
      <w:bookmarkStart w:id="2" w:name="_GoBack"/>
      <w:bookmarkEnd w:id="2"/>
      <w:r>
        <w:rPr>
          <w:rFonts w:ascii="仿宋_GB2312" w:eastAsia="仿宋_GB2312" w:hAnsi="宋体" w:cs="宋体" w:hint="eastAsia"/>
          <w:sz w:val="32"/>
          <w:szCs w:val="32"/>
        </w:rPr>
        <w:t>同时，双方将以为“中国制造2025”提供服务为目标，以发展智能制造产业为核心，全力为濠江区提供全方位的人才支持和智力保障。</w:t>
      </w:r>
    </w:p>
    <w:p w:rsidR="00526FBB" w:rsidRDefault="00D56A3D" w:rsidP="00D56A3D">
      <w:r>
        <w:rPr>
          <w:rFonts w:ascii="仿宋_GB2312" w:eastAsia="仿宋_GB2312"/>
          <w:noProof/>
          <w:sz w:val="32"/>
          <w:szCs w:val="32"/>
        </w:rPr>
        <w:drawing>
          <wp:inline distT="0" distB="0" distL="0" distR="0">
            <wp:extent cx="5381625" cy="3733800"/>
            <wp:effectExtent l="19050" t="0" r="9525"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916" name="Picture 10"/>
                    <pic:cNvPicPr>
                      <a:picLocks noChangeArrowheads="1"/>
                    </pic:cNvPicPr>
                  </pic:nvPicPr>
                  <pic:blipFill>
                    <a:blip r:embed="rId8" cstate="screen">
                      <a:extLst>
                        <a:ext uri="{BEBA8EAE-BF5A-486C-A8C5-ECC9F3942E4B}"/>
                        <a:ext uri="{28A0092B-C50C-407E-A947-70E740481C1C}"/>
                      </a:extLst>
                    </a:blip>
                    <a:srcRect/>
                    <a:stretch>
                      <a:fillRect/>
                    </a:stretch>
                  </pic:blipFill>
                  <pic:spPr bwMode="auto">
                    <a:xfrm>
                      <a:off x="0" y="0"/>
                      <a:ext cx="5381625" cy="3733800"/>
                    </a:xfrm>
                    <a:prstGeom prst="rect">
                      <a:avLst/>
                    </a:prstGeom>
                    <a:ln w="38100">
                      <a:noFill/>
                      <a:miter lim="800000"/>
                      <a:headEnd/>
                      <a:tailEnd/>
                    </a:ln>
                    <a:effectLst>
                      <a:softEdge rad="127000"/>
                    </a:effectLst>
                    <a:extLst>
                      <a:ext uri="{909E8E84-426E-40DD-AFC4-6F175D3DCCD1}"/>
                    </a:extLst>
                  </pic:spPr>
                </pic:pic>
              </a:graphicData>
            </a:graphic>
          </wp:inline>
        </w:drawing>
      </w:r>
    </w:p>
    <w:sectPr w:rsidR="00526FBB" w:rsidSect="00526FB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51F" w:rsidRDefault="00C2151F" w:rsidP="00D56A3D">
      <w:r>
        <w:separator/>
      </w:r>
    </w:p>
  </w:endnote>
  <w:endnote w:type="continuationSeparator" w:id="0">
    <w:p w:rsidR="00C2151F" w:rsidRDefault="00C2151F" w:rsidP="00D56A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A3D" w:rsidRDefault="00D56A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A3D" w:rsidRDefault="00D56A3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A3D" w:rsidRDefault="00D56A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51F" w:rsidRDefault="00C2151F" w:rsidP="00D56A3D">
      <w:r>
        <w:separator/>
      </w:r>
    </w:p>
  </w:footnote>
  <w:footnote w:type="continuationSeparator" w:id="0">
    <w:p w:rsidR="00C2151F" w:rsidRDefault="00C2151F" w:rsidP="00D56A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A3D" w:rsidRDefault="00D56A3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A3D" w:rsidRPr="00D56A3D" w:rsidRDefault="00D56A3D" w:rsidP="00D56A3D">
    <w:pPr>
      <w:pStyle w:val="a3"/>
      <w:ind w:firstLineChars="200" w:firstLine="420"/>
      <w:jc w:val="both"/>
      <w:rPr>
        <w:sz w:val="21"/>
        <w:szCs w:val="21"/>
        <w:u w:val="single"/>
      </w:rPr>
    </w:pPr>
    <w:r>
      <w:rPr>
        <w:rFonts w:ascii="楷体_GB2312" w:eastAsia="楷体_GB2312" w:hint="eastAsia"/>
        <w:noProof/>
        <w:sz w:val="21"/>
        <w:szCs w:val="21"/>
      </w:rPr>
      <w:drawing>
        <wp:anchor distT="0" distB="0" distL="114300" distR="114300" simplePos="0" relativeHeight="251658240" behindDoc="0" locked="0" layoutInCell="1" allowOverlap="1">
          <wp:simplePos x="0" y="0"/>
          <wp:positionH relativeFrom="page">
            <wp:posOffset>1076325</wp:posOffset>
          </wp:positionH>
          <wp:positionV relativeFrom="page">
            <wp:posOffset>457200</wp:posOffset>
          </wp:positionV>
          <wp:extent cx="323850" cy="323850"/>
          <wp:effectExtent l="19050" t="0" r="0" b="0"/>
          <wp:wrapNone/>
          <wp:docPr id="4" name="Picture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
                  <pic:cNvPicPr>
                    <a:picLocks noChangeAspect="1" noChangeArrowheads="1"/>
                  </pic:cNvPicPr>
                </pic:nvPicPr>
                <pic:blipFill>
                  <a:blip r:embed="rId1"/>
                  <a:srcRect/>
                  <a:stretch>
                    <a:fillRect/>
                  </a:stretch>
                </pic:blipFill>
                <pic:spPr bwMode="auto">
                  <a:xfrm>
                    <a:off x="0" y="0"/>
                    <a:ext cx="323850" cy="323850"/>
                  </a:xfrm>
                  <a:prstGeom prst="rect">
                    <a:avLst/>
                  </a:prstGeom>
                  <a:noFill/>
                  <a:ln w="9525">
                    <a:noFill/>
                    <a:miter lim="800000"/>
                    <a:headEnd/>
                    <a:tailEnd/>
                  </a:ln>
                </pic:spPr>
              </pic:pic>
            </a:graphicData>
          </a:graphic>
        </wp:anchor>
      </w:drawing>
    </w:r>
    <w:r>
      <w:rPr>
        <w:rFonts w:ascii="楷体_GB2312" w:eastAsia="楷体_GB2312" w:hint="eastAsia"/>
        <w:sz w:val="21"/>
        <w:szCs w:val="21"/>
      </w:rPr>
      <w:t xml:space="preserve">汕头职业技术学院 </w:t>
    </w:r>
    <w:r>
      <w:rPr>
        <w:rFonts w:hint="eastAsia"/>
        <w:sz w:val="21"/>
        <w:szCs w:val="21"/>
      </w:rPr>
      <w:t xml:space="preserve">                         </w:t>
    </w:r>
    <w:r>
      <w:rPr>
        <w:rFonts w:ascii="楷体_GB2312" w:eastAsia="楷体_GB2312" w:hint="eastAsia"/>
        <w:sz w:val="21"/>
        <w:szCs w:val="21"/>
      </w:rPr>
      <w:t>高等职业教育质量年度报告</w:t>
    </w:r>
    <w:r>
      <w:rPr>
        <w:rFonts w:hint="eastAsia"/>
        <w:sz w:val="21"/>
        <w:szCs w:val="21"/>
      </w:rPr>
      <w:t>（</w:t>
    </w:r>
    <w:r>
      <w:rPr>
        <w:rFonts w:hint="eastAsia"/>
        <w:sz w:val="21"/>
        <w:szCs w:val="21"/>
      </w:rPr>
      <w:t>2018</w:t>
    </w:r>
    <w:r>
      <w:rPr>
        <w:rFonts w:hint="eastAsia"/>
        <w:sz w:val="21"/>
        <w:szCs w:val="21"/>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A3D" w:rsidRDefault="00D56A3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6A3D"/>
    <w:rsid w:val="00526FBB"/>
    <w:rsid w:val="00C2151F"/>
    <w:rsid w:val="00D56A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A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56A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56A3D"/>
    <w:rPr>
      <w:sz w:val="18"/>
      <w:szCs w:val="18"/>
    </w:rPr>
  </w:style>
  <w:style w:type="paragraph" w:styleId="a4">
    <w:name w:val="footer"/>
    <w:basedOn w:val="a"/>
    <w:link w:val="Char0"/>
    <w:uiPriority w:val="99"/>
    <w:semiHidden/>
    <w:unhideWhenUsed/>
    <w:rsid w:val="00D56A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56A3D"/>
    <w:rPr>
      <w:sz w:val="18"/>
      <w:szCs w:val="18"/>
    </w:rPr>
  </w:style>
  <w:style w:type="paragraph" w:styleId="a5">
    <w:name w:val="Balloon Text"/>
    <w:basedOn w:val="a"/>
    <w:link w:val="Char1"/>
    <w:uiPriority w:val="99"/>
    <w:semiHidden/>
    <w:unhideWhenUsed/>
    <w:rsid w:val="00D56A3D"/>
    <w:rPr>
      <w:sz w:val="18"/>
      <w:szCs w:val="18"/>
    </w:rPr>
  </w:style>
  <w:style w:type="character" w:customStyle="1" w:styleId="Char1">
    <w:name w:val="批注框文本 Char"/>
    <w:basedOn w:val="a0"/>
    <w:link w:val="a5"/>
    <w:uiPriority w:val="99"/>
    <w:semiHidden/>
    <w:rsid w:val="00D56A3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2018-01-19T07:50:00Z</dcterms:created>
  <dcterms:modified xsi:type="dcterms:W3CDTF">2018-01-19T07:51:00Z</dcterms:modified>
</cp:coreProperties>
</file>