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39A9D">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left="0" w:leftChars="0" w:firstLine="0" w:firstLineChars="0"/>
        <w:jc w:val="center"/>
        <w:textAlignment w:val="auto"/>
        <w:rPr>
          <w:color w:val="auto"/>
          <w:sz w:val="28"/>
          <w:szCs w:val="28"/>
        </w:rPr>
      </w:pPr>
      <w:bookmarkStart w:id="0" w:name="_Toc20623"/>
      <w:bookmarkStart w:id="1" w:name="_Toc1594"/>
      <w:bookmarkStart w:id="2" w:name="_Toc8302"/>
      <w:bookmarkStart w:id="3" w:name="_Toc31753"/>
      <w:r>
        <w:rPr>
          <w:rFonts w:hint="eastAsia"/>
          <w:color w:val="auto"/>
          <w:sz w:val="28"/>
          <w:szCs w:val="28"/>
        </w:rPr>
        <w:t>汕头职业技术学院经费开支管理暂行办法</w:t>
      </w:r>
      <w:bookmarkEnd w:id="0"/>
      <w:bookmarkEnd w:id="1"/>
      <w:bookmarkEnd w:id="2"/>
      <w:bookmarkEnd w:id="3"/>
    </w:p>
    <w:p w14:paraId="740545CD">
      <w:pPr>
        <w:keepNext w:val="0"/>
        <w:keepLines w:val="0"/>
        <w:pageBreakBefore w:val="0"/>
        <w:kinsoku/>
        <w:wordWrap/>
        <w:overflowPunct/>
        <w:topLinePunct w:val="0"/>
        <w:autoSpaceDE/>
        <w:autoSpaceDN/>
        <w:bidi w:val="0"/>
        <w:adjustRightInd/>
        <w:jc w:val="center"/>
        <w:outlineLvl w:val="1"/>
        <w:rPr>
          <w:color w:val="auto"/>
        </w:rPr>
      </w:pPr>
      <w:r>
        <w:rPr>
          <w:rFonts w:hint="eastAsia"/>
          <w:color w:val="auto"/>
          <w:sz w:val="24"/>
        </w:rPr>
        <w:t>（汕职院发</w:t>
      </w:r>
      <w:r>
        <w:rPr>
          <w:rFonts w:hint="eastAsia" w:ascii="宋体" w:hAnsi="宋体" w:cs="宋体"/>
          <w:color w:val="auto"/>
          <w:sz w:val="24"/>
        </w:rPr>
        <w:t>〔</w:t>
      </w:r>
      <w:r>
        <w:rPr>
          <w:rFonts w:hint="eastAsia"/>
          <w:color w:val="auto"/>
          <w:sz w:val="24"/>
        </w:rPr>
        <w:t>2020</w:t>
      </w:r>
      <w:r>
        <w:rPr>
          <w:rFonts w:hint="eastAsia" w:ascii="宋体" w:hAnsi="宋体" w:cs="宋体"/>
          <w:color w:val="auto"/>
          <w:sz w:val="24"/>
        </w:rPr>
        <w:t>〕57</w:t>
      </w:r>
      <w:r>
        <w:rPr>
          <w:rFonts w:hint="eastAsia"/>
          <w:color w:val="auto"/>
          <w:sz w:val="24"/>
        </w:rPr>
        <w:t>号）</w:t>
      </w:r>
    </w:p>
    <w:p w14:paraId="7F8E1AAC">
      <w:pPr>
        <w:pStyle w:val="6"/>
        <w:keepNext w:val="0"/>
        <w:keepLines w:val="0"/>
        <w:pageBreakBefore w:val="0"/>
        <w:widowControl w:val="0"/>
        <w:kinsoku/>
        <w:wordWrap/>
        <w:overflowPunct/>
        <w:topLinePunct w:val="0"/>
        <w:autoSpaceDE/>
        <w:autoSpaceDN/>
        <w:bidi w:val="0"/>
        <w:adjustRightInd/>
        <w:spacing w:before="156" w:beforeLines="50" w:after="156" w:afterLines="50" w:line="440" w:lineRule="exact"/>
        <w:textAlignment w:val="auto"/>
        <w:outlineLvl w:val="1"/>
        <w:rPr>
          <w:rFonts w:ascii="宋体" w:hAnsi="宋体" w:eastAsia="宋体"/>
          <w:b/>
          <w:bCs/>
          <w:color w:val="auto"/>
          <w:sz w:val="24"/>
          <w:szCs w:val="24"/>
        </w:rPr>
      </w:pPr>
      <w:bookmarkStart w:id="4" w:name="_Toc21782"/>
      <w:bookmarkStart w:id="5" w:name="_Toc24599"/>
      <w:r>
        <w:rPr>
          <w:rFonts w:hint="eastAsia" w:ascii="宋体" w:hAnsi="宋体" w:eastAsia="宋体"/>
          <w:b/>
          <w:bCs/>
          <w:color w:val="auto"/>
          <w:sz w:val="24"/>
          <w:szCs w:val="24"/>
        </w:rPr>
        <w:t>第一章  总 则</w:t>
      </w:r>
      <w:bookmarkEnd w:id="4"/>
      <w:bookmarkEnd w:id="5"/>
    </w:p>
    <w:p w14:paraId="57F607F9">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第一条 </w:t>
      </w:r>
      <w:r>
        <w:rPr>
          <w:rFonts w:hint="eastAsia" w:ascii="宋体" w:hAnsi="宋体" w:cs="宋体"/>
          <w:color w:val="auto"/>
          <w:sz w:val="24"/>
        </w:rPr>
        <w:t xml:space="preserve"> 为贯彻执行国家以及上级财政部门的财经制度和规定，严格财经纪律，加强预算管理，规范财务开支、审批、报销行为，强化服务意识，提高工作效率和资金使用效益，促进学院各项事业持续、健康发展，根据《预算法》《会计法》《会计基础工作规范》《政府会计准则制度》、《关于进一步加强高校财务管理工作的意见》（粤教财〔2006〕17号）、广东省省级财政专项资金管理办法（试行）的通知》（粤府〔2018〕120号）和《关于广东省深化高等教育领域简政放权放管结合优化服务改革的实施意见》及国家、省、市有关财经法律法规，结合学院实际情况，制定本办法。</w:t>
      </w:r>
    </w:p>
    <w:p w14:paraId="4224D973">
      <w:pPr>
        <w:keepNext w:val="0"/>
        <w:keepLines w:val="0"/>
        <w:pageBreakBefore w:val="0"/>
        <w:kinsoku/>
        <w:wordWrap/>
        <w:overflowPunct/>
        <w:topLinePunct w:val="0"/>
        <w:autoSpaceDE/>
        <w:autoSpaceDN/>
        <w:bidi w:val="0"/>
        <w:adjustRightInd/>
        <w:spacing w:line="440" w:lineRule="exact"/>
        <w:ind w:left="2" w:leftChars="1" w:firstLine="482" w:firstLineChars="200"/>
        <w:outlineLvl w:val="1"/>
        <w:rPr>
          <w:rFonts w:ascii="宋体" w:hAnsi="宋体" w:cs="宋体"/>
          <w:color w:val="auto"/>
          <w:sz w:val="24"/>
        </w:rPr>
      </w:pPr>
      <w:r>
        <w:rPr>
          <w:rFonts w:hint="eastAsia" w:ascii="宋体" w:hAnsi="宋体" w:cs="宋体"/>
          <w:b/>
          <w:bCs/>
          <w:color w:val="auto"/>
          <w:sz w:val="24"/>
        </w:rPr>
        <w:t xml:space="preserve">第二条 </w:t>
      </w:r>
      <w:r>
        <w:rPr>
          <w:rFonts w:hint="eastAsia" w:ascii="宋体" w:hAnsi="宋体" w:cs="宋体"/>
          <w:color w:val="auto"/>
          <w:sz w:val="24"/>
        </w:rPr>
        <w:t xml:space="preserve"> 实行统一领导、集中管理的财务管理体制，坚持勤俭办学的方针，以“量入为出、收支平衡、统筹兼顾、专款专用”为原则，经费支出必须做到支出合理，厉行节约、讲求效益。</w:t>
      </w:r>
    </w:p>
    <w:p w14:paraId="68F445FB">
      <w:pPr>
        <w:keepNext w:val="0"/>
        <w:keepLines w:val="0"/>
        <w:pageBreakBefore w:val="0"/>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第三条 </w:t>
      </w:r>
      <w:r>
        <w:rPr>
          <w:rFonts w:hint="eastAsia" w:ascii="宋体" w:hAnsi="宋体" w:cs="宋体"/>
          <w:color w:val="auto"/>
          <w:sz w:val="24"/>
        </w:rPr>
        <w:t xml:space="preserve"> 本办法适用于纳入学院统一核算的所有经费管理。学院所有经费按预算下达分类，分为：项目经费、部门经费、学院公共经费和机动费。其中项目经费是指创新强校工程、质量工程项目等纳入项目库管理的经费；部门经费指部门预算内经费，即预算安排至各职能部门，由各职能部门掌管的、用于全院事业发展的经费以及各部门工作经费等；学院公共经费指预算安排至院级的各项经费；学院机动费是指在预算中安排的仅用于不可预见的或超预算的必要开支。</w:t>
      </w:r>
    </w:p>
    <w:p w14:paraId="10066044">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color w:val="auto"/>
        </w:rPr>
      </w:pPr>
      <w:bookmarkStart w:id="6" w:name="_Toc11173"/>
      <w:bookmarkStart w:id="7" w:name="_Toc19291"/>
      <w:r>
        <w:rPr>
          <w:rFonts w:hint="eastAsia"/>
          <w:b/>
          <w:bCs/>
          <w:color w:val="auto"/>
        </w:rPr>
        <w:t>第二章  经费审批原则和权限</w:t>
      </w:r>
      <w:bookmarkEnd w:id="6"/>
      <w:bookmarkEnd w:id="7"/>
    </w:p>
    <w:p w14:paraId="5B996B19">
      <w:pPr>
        <w:keepNext w:val="0"/>
        <w:keepLines w:val="0"/>
        <w:pageBreakBefore w:val="0"/>
        <w:tabs>
          <w:tab w:val="left" w:pos="1722"/>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第四条</w:t>
      </w:r>
      <w:r>
        <w:rPr>
          <w:rFonts w:hint="eastAsia" w:ascii="宋体" w:hAnsi="宋体" w:cs="宋体"/>
          <w:color w:val="auto"/>
          <w:sz w:val="24"/>
        </w:rPr>
        <w:t xml:space="preserve">  学院经费审批按照学院经济责任制实施办法规定，实行责、权、利相结合和“谁主管、谁审批、谁负责”的原则，审批人对职权范围内经济活动的真实性、合理性、合法性、合规性负责。</w:t>
      </w:r>
    </w:p>
    <w:p w14:paraId="7D80D79F">
      <w:pPr>
        <w:keepNext w:val="0"/>
        <w:keepLines w:val="0"/>
        <w:pageBreakBefore w:val="0"/>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第五条</w:t>
      </w:r>
      <w:r>
        <w:rPr>
          <w:rFonts w:hint="eastAsia" w:ascii="宋体" w:hAnsi="宋体" w:cs="宋体"/>
          <w:color w:val="auto"/>
          <w:sz w:val="24"/>
        </w:rPr>
        <w:t xml:space="preserve">  各项经费开支严格执行“一支笔”的审批制度，审批人应将签名样本交计划财务处留存。经费审批必须由审批人亲笔签名，不能代签，也不能以印章代替签名。审批人因特殊情况必须授权他人行使经费使用审批权的，应出具书面委托授权书，报计划财务处备案。</w:t>
      </w:r>
    </w:p>
    <w:p w14:paraId="33A83B4D">
      <w:pPr>
        <w:keepNext w:val="0"/>
        <w:keepLines w:val="0"/>
        <w:pageBreakBefore w:val="0"/>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第六条</w:t>
      </w:r>
      <w:r>
        <w:rPr>
          <w:rFonts w:hint="eastAsia" w:ascii="宋体" w:hAnsi="宋体" w:cs="宋体"/>
          <w:color w:val="auto"/>
          <w:sz w:val="24"/>
        </w:rPr>
        <w:t xml:space="preserve">  经费开支实行逐级审批原则，具体审批权限如下：</w:t>
      </w:r>
    </w:p>
    <w:p w14:paraId="5BBEC64A">
      <w:pPr>
        <w:keepNext w:val="0"/>
        <w:keepLines w:val="0"/>
        <w:pageBreakBefore w:val="0"/>
        <w:kinsoku/>
        <w:wordWrap/>
        <w:overflowPunct/>
        <w:topLinePunct w:val="0"/>
        <w:autoSpaceDE/>
        <w:autoSpaceDN/>
        <w:bidi w:val="0"/>
        <w:adjustRightInd/>
        <w:spacing w:before="312" w:beforeLines="100" w:line="440" w:lineRule="exact"/>
        <w:jc w:val="center"/>
        <w:outlineLvl w:val="1"/>
        <w:rPr>
          <w:rFonts w:ascii="宋体" w:hAnsi="宋体" w:cs="宋体"/>
          <w:color w:val="auto"/>
          <w:sz w:val="24"/>
        </w:rPr>
      </w:pPr>
      <w:r>
        <w:rPr>
          <w:rFonts w:hint="eastAsia" w:ascii="宋体" w:hAnsi="宋体" w:cs="宋体"/>
          <w:b/>
          <w:bCs/>
          <w:color w:val="auto"/>
          <w:sz w:val="24"/>
        </w:rPr>
        <w:t>经费审批权限一览表（</w:t>
      </w:r>
      <w:r>
        <w:rPr>
          <w:rFonts w:hint="eastAsia" w:ascii="宋体" w:hAnsi="宋体" w:cs="宋体"/>
          <w:color w:val="auto"/>
          <w:sz w:val="24"/>
        </w:rPr>
        <w:t>金额单位：元）</w:t>
      </w:r>
    </w:p>
    <w:p w14:paraId="7246D46E">
      <w:pPr>
        <w:keepNext w:val="0"/>
        <w:keepLines w:val="0"/>
        <w:pageBreakBefore w:val="0"/>
        <w:widowControl/>
        <w:kinsoku/>
        <w:wordWrap/>
        <w:overflowPunct/>
        <w:topLinePunct w:val="0"/>
        <w:autoSpaceDE/>
        <w:autoSpaceDN/>
        <w:bidi w:val="0"/>
        <w:adjustRightInd/>
        <w:spacing w:line="440" w:lineRule="exact"/>
        <w:textAlignment w:val="center"/>
        <w:outlineLvl w:val="1"/>
        <w:rPr>
          <w:rFonts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163830</wp:posOffset>
                </wp:positionV>
                <wp:extent cx="6648450" cy="2962275"/>
                <wp:effectExtent l="0" t="0" r="0" b="9525"/>
                <wp:wrapNone/>
                <wp:docPr id="224" name="文本框 224"/>
                <wp:cNvGraphicFramePr/>
                <a:graphic xmlns:a="http://schemas.openxmlformats.org/drawingml/2006/main">
                  <a:graphicData uri="http://schemas.microsoft.com/office/word/2010/wordprocessingShape">
                    <wps:wsp>
                      <wps:cNvSpPr txBox="1"/>
                      <wps:spPr>
                        <a:xfrm>
                          <a:off x="0" y="0"/>
                          <a:ext cx="6648450" cy="2962275"/>
                        </a:xfrm>
                        <a:prstGeom prst="rect">
                          <a:avLst/>
                        </a:prstGeom>
                        <a:solidFill>
                          <a:srgbClr val="FFFFFF"/>
                        </a:solidFill>
                        <a:ln>
                          <a:noFill/>
                        </a:ln>
                      </wps:spPr>
                      <wps:txbx>
                        <w:txbxContent>
                          <w:tbl>
                            <w:tblPr>
                              <w:tblStyle w:val="4"/>
                              <w:tblW w:w="10222" w:type="dxa"/>
                              <w:jc w:val="center"/>
                              <w:tblLayout w:type="fixed"/>
                              <w:tblCellMar>
                                <w:top w:w="15" w:type="dxa"/>
                                <w:left w:w="15" w:type="dxa"/>
                                <w:bottom w:w="15" w:type="dxa"/>
                                <w:right w:w="15" w:type="dxa"/>
                              </w:tblCellMar>
                            </w:tblPr>
                            <w:tblGrid>
                              <w:gridCol w:w="1149"/>
                              <w:gridCol w:w="851"/>
                              <w:gridCol w:w="1701"/>
                              <w:gridCol w:w="1417"/>
                              <w:gridCol w:w="1134"/>
                              <w:gridCol w:w="1134"/>
                              <w:gridCol w:w="1418"/>
                              <w:gridCol w:w="1418"/>
                            </w:tblGrid>
                            <w:tr w14:paraId="76E93BE7">
                              <w:tblPrEx>
                                <w:tblCellMar>
                                  <w:top w:w="15" w:type="dxa"/>
                                  <w:left w:w="15" w:type="dxa"/>
                                  <w:bottom w:w="15" w:type="dxa"/>
                                  <w:right w:w="15" w:type="dxa"/>
                                </w:tblCellMar>
                              </w:tblPrEx>
                              <w:trPr>
                                <w:trHeight w:val="112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125C38FC">
                                  <w:pPr>
                                    <w:spacing w:line="320" w:lineRule="exact"/>
                                    <w:jc w:val="center"/>
                                    <w:rPr>
                                      <w:rFonts w:ascii="宋体" w:hAnsi="宋体" w:cs="宋体"/>
                                      <w:b/>
                                      <w:bCs/>
                                      <w:color w:val="000000"/>
                                      <w:szCs w:val="21"/>
                                    </w:rPr>
                                  </w:pPr>
                                  <w:r>
                                    <w:rPr>
                                      <w:rFonts w:hint="eastAsia" w:ascii="宋体" w:hAnsi="宋体" w:cs="宋体"/>
                                      <w:b/>
                                      <w:bCs/>
                                      <w:color w:val="000000"/>
                                      <w:szCs w:val="21"/>
                                    </w:rPr>
                                    <w:t>审批权限</w:t>
                                  </w:r>
                                </w:p>
                              </w:tc>
                              <w:tc>
                                <w:tcPr>
                                  <w:tcW w:w="851" w:type="dxa"/>
                                  <w:tcBorders>
                                    <w:top w:val="single" w:color="000000" w:sz="4" w:space="0"/>
                                    <w:left w:val="single" w:color="000000" w:sz="4" w:space="0"/>
                                    <w:bottom w:val="single" w:color="000000" w:sz="4" w:space="0"/>
                                    <w:right w:val="single" w:color="000000" w:sz="4" w:space="0"/>
                                  </w:tcBorders>
                                  <w:vAlign w:val="center"/>
                                </w:tcPr>
                                <w:p w14:paraId="2A76E5AC">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14:paraId="1A79CE1C">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各处（室）、系（院/部）、中心（馆）负责人</w:t>
                                  </w:r>
                                </w:p>
                              </w:tc>
                              <w:tc>
                                <w:tcPr>
                                  <w:tcW w:w="1417" w:type="dxa"/>
                                  <w:tcBorders>
                                    <w:top w:val="single" w:color="000000" w:sz="4" w:space="0"/>
                                    <w:left w:val="single" w:color="000000" w:sz="4" w:space="0"/>
                                    <w:bottom w:val="single" w:color="000000" w:sz="4" w:space="0"/>
                                    <w:right w:val="single" w:color="000000" w:sz="4" w:space="0"/>
                                  </w:tcBorders>
                                  <w:vAlign w:val="center"/>
                                </w:tcPr>
                                <w:p w14:paraId="17E8C17D">
                                  <w:pPr>
                                    <w:widowControl/>
                                    <w:spacing w:line="320" w:lineRule="exact"/>
                                    <w:jc w:val="center"/>
                                    <w:textAlignment w:val="center"/>
                                    <w:rPr>
                                      <w:rFonts w:ascii="宋体" w:hAnsi="宋体" w:cs="宋体"/>
                                      <w:b/>
                                      <w:bCs/>
                                      <w:szCs w:val="21"/>
                                    </w:rPr>
                                  </w:pPr>
                                  <w:r>
                                    <w:rPr>
                                      <w:rFonts w:hint="eastAsia" w:ascii="宋体" w:hAnsi="宋体" w:cs="宋体"/>
                                      <w:b/>
                                      <w:bCs/>
                                      <w:szCs w:val="21"/>
                                    </w:rPr>
                                    <w:t>分管业务院领导</w:t>
                                  </w:r>
                                </w:p>
                              </w:tc>
                              <w:tc>
                                <w:tcPr>
                                  <w:tcW w:w="1134" w:type="dxa"/>
                                  <w:tcBorders>
                                    <w:top w:val="single" w:color="000000" w:sz="4" w:space="0"/>
                                    <w:left w:val="single" w:color="000000" w:sz="4" w:space="0"/>
                                    <w:bottom w:val="single" w:color="000000" w:sz="4" w:space="0"/>
                                    <w:right w:val="single" w:color="000000" w:sz="4" w:space="0"/>
                                  </w:tcBorders>
                                  <w:vAlign w:val="center"/>
                                </w:tcPr>
                                <w:p w14:paraId="1F81912B">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分管财务副院长</w:t>
                                  </w:r>
                                </w:p>
                              </w:tc>
                              <w:tc>
                                <w:tcPr>
                                  <w:tcW w:w="1134" w:type="dxa"/>
                                  <w:tcBorders>
                                    <w:top w:val="single" w:color="000000" w:sz="4" w:space="0"/>
                                    <w:left w:val="single" w:color="000000" w:sz="4" w:space="0"/>
                                    <w:bottom w:val="single" w:color="000000" w:sz="4" w:space="0"/>
                                    <w:right w:val="single" w:color="000000" w:sz="4" w:space="0"/>
                                  </w:tcBorders>
                                  <w:vAlign w:val="center"/>
                                </w:tcPr>
                                <w:p w14:paraId="606B0882">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院长</w:t>
                                  </w:r>
                                </w:p>
                              </w:tc>
                              <w:tc>
                                <w:tcPr>
                                  <w:tcW w:w="1418" w:type="dxa"/>
                                  <w:tcBorders>
                                    <w:top w:val="single" w:color="000000" w:sz="4" w:space="0"/>
                                    <w:left w:val="single" w:color="000000" w:sz="4" w:space="0"/>
                                    <w:bottom w:val="single" w:color="000000" w:sz="4" w:space="0"/>
                                    <w:right w:val="single" w:color="000000" w:sz="4" w:space="0"/>
                                  </w:tcBorders>
                                  <w:vAlign w:val="center"/>
                                </w:tcPr>
                                <w:p w14:paraId="5DA737FF">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院长办公会</w:t>
                                  </w:r>
                                </w:p>
                              </w:tc>
                              <w:tc>
                                <w:tcPr>
                                  <w:tcW w:w="1418" w:type="dxa"/>
                                  <w:tcBorders>
                                    <w:top w:val="single" w:color="000000" w:sz="4" w:space="0"/>
                                    <w:left w:val="single" w:color="000000" w:sz="4" w:space="0"/>
                                    <w:bottom w:val="single" w:color="000000" w:sz="4" w:space="0"/>
                                    <w:right w:val="single" w:color="000000" w:sz="4" w:space="0"/>
                                  </w:tcBorders>
                                  <w:vAlign w:val="center"/>
                                </w:tcPr>
                                <w:p w14:paraId="359D9DB2">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党委会</w:t>
                                  </w:r>
                                </w:p>
                              </w:tc>
                            </w:tr>
                            <w:tr w14:paraId="165F3001">
                              <w:tblPrEx>
                                <w:tblCellMar>
                                  <w:top w:w="15" w:type="dxa"/>
                                  <w:left w:w="15" w:type="dxa"/>
                                  <w:bottom w:w="15" w:type="dxa"/>
                                  <w:right w:w="15" w:type="dxa"/>
                                </w:tblCellMar>
                              </w:tblPrEx>
                              <w:trPr>
                                <w:trHeight w:val="79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17D43281">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项目经费</w:t>
                                  </w:r>
                                </w:p>
                              </w:tc>
                              <w:tc>
                                <w:tcPr>
                                  <w:tcW w:w="851" w:type="dxa"/>
                                  <w:tcBorders>
                                    <w:top w:val="single" w:color="000000" w:sz="4" w:space="0"/>
                                    <w:left w:val="single" w:color="000000" w:sz="4" w:space="0"/>
                                    <w:bottom w:val="single" w:color="000000" w:sz="4" w:space="0"/>
                                    <w:right w:val="single" w:color="000000" w:sz="4" w:space="0"/>
                                  </w:tcBorders>
                                  <w:vAlign w:val="center"/>
                                </w:tcPr>
                                <w:p w14:paraId="79AA3F0B">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1万</w:t>
                                  </w:r>
                                </w:p>
                              </w:tc>
                              <w:tc>
                                <w:tcPr>
                                  <w:tcW w:w="1701" w:type="dxa"/>
                                  <w:tcBorders>
                                    <w:top w:val="single" w:color="000000" w:sz="4" w:space="0"/>
                                    <w:left w:val="single" w:color="000000" w:sz="4" w:space="0"/>
                                    <w:bottom w:val="single" w:color="000000" w:sz="4" w:space="0"/>
                                    <w:right w:val="single" w:color="000000" w:sz="4" w:space="0"/>
                                  </w:tcBorders>
                                  <w:vAlign w:val="center"/>
                                </w:tcPr>
                                <w:p w14:paraId="1C0034AC">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1万（含）</w:t>
                                  </w:r>
                                </w:p>
                                <w:p w14:paraId="600E5BFC">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至3万</w:t>
                                  </w:r>
                                </w:p>
                              </w:tc>
                              <w:tc>
                                <w:tcPr>
                                  <w:tcW w:w="1417" w:type="dxa"/>
                                  <w:tcBorders>
                                    <w:top w:val="single" w:color="000000" w:sz="4" w:space="0"/>
                                    <w:left w:val="single" w:color="000000" w:sz="4" w:space="0"/>
                                    <w:bottom w:val="single" w:color="000000" w:sz="4" w:space="0"/>
                                    <w:right w:val="single" w:color="000000" w:sz="4" w:space="0"/>
                                  </w:tcBorders>
                                  <w:vAlign w:val="center"/>
                                </w:tcPr>
                                <w:p w14:paraId="343A465B">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3万（含）至10万</w:t>
                                  </w:r>
                                </w:p>
                              </w:tc>
                              <w:tc>
                                <w:tcPr>
                                  <w:tcW w:w="1134" w:type="dxa"/>
                                  <w:tcBorders>
                                    <w:top w:val="single" w:color="000000" w:sz="4" w:space="0"/>
                                    <w:left w:val="single" w:color="000000" w:sz="4" w:space="0"/>
                                    <w:bottom w:val="single" w:color="000000" w:sz="4" w:space="0"/>
                                    <w:right w:val="single" w:color="000000" w:sz="4" w:space="0"/>
                                  </w:tcBorders>
                                  <w:vAlign w:val="center"/>
                                </w:tcPr>
                                <w:p w14:paraId="2B81D9FD">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tcPr>
                                <w:p w14:paraId="1B5A9DA0">
                                  <w:pPr>
                                    <w:widowControl/>
                                    <w:spacing w:line="320" w:lineRule="exact"/>
                                    <w:jc w:val="center"/>
                                    <w:textAlignment w:val="center"/>
                                    <w:rPr>
                                      <w:rFonts w:ascii="宋体" w:hAnsi="宋体" w:cs="宋体"/>
                                      <w:color w:val="000000"/>
                                      <w:szCs w:val="21"/>
                                    </w:rPr>
                                  </w:pPr>
                                </w:p>
                                <w:p w14:paraId="3281BED5">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1B7DEAB1">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10万（含）至100万</w:t>
                                  </w:r>
                                </w:p>
                              </w:tc>
                              <w:tc>
                                <w:tcPr>
                                  <w:tcW w:w="1418" w:type="dxa"/>
                                  <w:tcBorders>
                                    <w:top w:val="single" w:color="000000" w:sz="4" w:space="0"/>
                                    <w:left w:val="single" w:color="000000" w:sz="4" w:space="0"/>
                                    <w:bottom w:val="single" w:color="000000" w:sz="4" w:space="0"/>
                                    <w:right w:val="single" w:color="000000" w:sz="4" w:space="0"/>
                                  </w:tcBorders>
                                  <w:vAlign w:val="center"/>
                                </w:tcPr>
                                <w:p w14:paraId="744E3764">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100万以上</w:t>
                                  </w:r>
                                </w:p>
                              </w:tc>
                            </w:tr>
                            <w:tr w14:paraId="57DC694C">
                              <w:tblPrEx>
                                <w:tblCellMar>
                                  <w:top w:w="15" w:type="dxa"/>
                                  <w:left w:w="15" w:type="dxa"/>
                                  <w:bottom w:w="15" w:type="dxa"/>
                                  <w:right w:w="15" w:type="dxa"/>
                                </w:tblCellMar>
                              </w:tblPrEx>
                              <w:trPr>
                                <w:trHeight w:val="79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7EB9B4B2">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部门经费</w:t>
                                  </w:r>
                                </w:p>
                              </w:tc>
                              <w:tc>
                                <w:tcPr>
                                  <w:tcW w:w="851" w:type="dxa"/>
                                  <w:tcBorders>
                                    <w:top w:val="single" w:color="000000" w:sz="4" w:space="0"/>
                                    <w:left w:val="single" w:color="000000" w:sz="4" w:space="0"/>
                                    <w:bottom w:val="single" w:color="000000" w:sz="4" w:space="0"/>
                                    <w:right w:val="single" w:color="000000" w:sz="4" w:space="0"/>
                                  </w:tcBorders>
                                  <w:vAlign w:val="center"/>
                                </w:tcPr>
                                <w:p w14:paraId="2D8DDB8D">
                                  <w:pPr>
                                    <w:spacing w:line="320" w:lineRule="exact"/>
                                    <w:jc w:val="center"/>
                                    <w:rPr>
                                      <w:rFonts w:ascii="宋体" w:hAnsi="宋体" w:cs="宋体"/>
                                      <w:color w:val="000000"/>
                                      <w:szCs w:val="21"/>
                                    </w:rPr>
                                  </w:pPr>
                                  <w:r>
                                    <w:rPr>
                                      <w:rFonts w:hint="eastAsia" w:ascii="宋体" w:hAnsi="宋体" w:cs="宋体"/>
                                      <w:color w:val="000000"/>
                                      <w:szCs w:val="21"/>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38F7829">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3万以下</w:t>
                                  </w:r>
                                </w:p>
                              </w:tc>
                              <w:tc>
                                <w:tcPr>
                                  <w:tcW w:w="1417" w:type="dxa"/>
                                  <w:tcBorders>
                                    <w:top w:val="single" w:color="000000" w:sz="4" w:space="0"/>
                                    <w:left w:val="single" w:color="000000" w:sz="4" w:space="0"/>
                                    <w:bottom w:val="single" w:color="000000" w:sz="4" w:space="0"/>
                                    <w:right w:val="single" w:color="000000" w:sz="4" w:space="0"/>
                                  </w:tcBorders>
                                  <w:vAlign w:val="center"/>
                                </w:tcPr>
                                <w:p w14:paraId="4C9225B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3万（含）至10万</w:t>
                                  </w:r>
                                </w:p>
                              </w:tc>
                              <w:tc>
                                <w:tcPr>
                                  <w:tcW w:w="1134" w:type="dxa"/>
                                  <w:tcBorders>
                                    <w:top w:val="single" w:color="000000" w:sz="4" w:space="0"/>
                                    <w:left w:val="single" w:color="000000" w:sz="4" w:space="0"/>
                                    <w:bottom w:val="single" w:color="000000" w:sz="4" w:space="0"/>
                                    <w:right w:val="single" w:color="000000" w:sz="4" w:space="0"/>
                                  </w:tcBorders>
                                  <w:vAlign w:val="center"/>
                                </w:tcPr>
                                <w:p w14:paraId="5FFCCF70">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tcPr>
                                <w:p w14:paraId="5478A484">
                                  <w:pPr>
                                    <w:widowControl/>
                                    <w:spacing w:line="320" w:lineRule="exact"/>
                                    <w:jc w:val="center"/>
                                    <w:textAlignment w:val="center"/>
                                    <w:rPr>
                                      <w:rFonts w:ascii="宋体" w:hAnsi="宋体" w:cs="宋体"/>
                                      <w:color w:val="000000"/>
                                      <w:szCs w:val="21"/>
                                    </w:rPr>
                                  </w:pPr>
                                </w:p>
                                <w:p w14:paraId="2CBC5990">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4554A57D">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10万（含）至100万</w:t>
                                  </w:r>
                                </w:p>
                              </w:tc>
                              <w:tc>
                                <w:tcPr>
                                  <w:tcW w:w="1418" w:type="dxa"/>
                                  <w:tcBorders>
                                    <w:top w:val="single" w:color="000000" w:sz="4" w:space="0"/>
                                    <w:left w:val="single" w:color="000000" w:sz="4" w:space="0"/>
                                    <w:bottom w:val="single" w:color="000000" w:sz="4" w:space="0"/>
                                    <w:right w:val="single" w:color="000000" w:sz="4" w:space="0"/>
                                  </w:tcBorders>
                                  <w:vAlign w:val="center"/>
                                </w:tcPr>
                                <w:p w14:paraId="3405F117">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100万以上</w:t>
                                  </w:r>
                                </w:p>
                              </w:tc>
                            </w:tr>
                            <w:tr w14:paraId="378B1EBA">
                              <w:tblPrEx>
                                <w:tblCellMar>
                                  <w:top w:w="15" w:type="dxa"/>
                                  <w:left w:w="15" w:type="dxa"/>
                                  <w:bottom w:w="15" w:type="dxa"/>
                                  <w:right w:w="15" w:type="dxa"/>
                                </w:tblCellMar>
                              </w:tblPrEx>
                              <w:trPr>
                                <w:trHeight w:val="79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47157DDF">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学院</w:t>
                                  </w:r>
                                </w:p>
                                <w:p w14:paraId="6C3A9B77">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公共经费</w:t>
                                  </w:r>
                                </w:p>
                              </w:tc>
                              <w:tc>
                                <w:tcPr>
                                  <w:tcW w:w="851" w:type="dxa"/>
                                  <w:tcBorders>
                                    <w:top w:val="single" w:color="000000" w:sz="4" w:space="0"/>
                                    <w:left w:val="single" w:color="000000" w:sz="4" w:space="0"/>
                                    <w:bottom w:val="single" w:color="000000" w:sz="4" w:space="0"/>
                                    <w:right w:val="single" w:color="000000" w:sz="4" w:space="0"/>
                                  </w:tcBorders>
                                  <w:vAlign w:val="center"/>
                                </w:tcPr>
                                <w:p w14:paraId="3D267B68">
                                  <w:pPr>
                                    <w:spacing w:line="320" w:lineRule="exact"/>
                                    <w:jc w:val="center"/>
                                    <w:rPr>
                                      <w:rFonts w:ascii="宋体" w:hAnsi="宋体" w:cs="宋体"/>
                                      <w:color w:val="000000"/>
                                      <w:szCs w:val="21"/>
                                    </w:rPr>
                                  </w:pPr>
                                  <w:r>
                                    <w:rPr>
                                      <w:rFonts w:hint="eastAsia" w:ascii="宋体" w:hAnsi="宋体" w:cs="宋体"/>
                                      <w:color w:val="000000"/>
                                      <w:szCs w:val="21"/>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942D641">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7" w:type="dxa"/>
                                  <w:tcBorders>
                                    <w:top w:val="single" w:color="000000" w:sz="4" w:space="0"/>
                                    <w:left w:val="single" w:color="000000" w:sz="4" w:space="0"/>
                                    <w:bottom w:val="single" w:color="000000" w:sz="4" w:space="0"/>
                                    <w:right w:val="single" w:color="000000" w:sz="4" w:space="0"/>
                                  </w:tcBorders>
                                  <w:vAlign w:val="center"/>
                                </w:tcPr>
                                <w:p w14:paraId="786C3BB3">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A90034F">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10万以下</w:t>
                                  </w:r>
                                </w:p>
                              </w:tc>
                              <w:tc>
                                <w:tcPr>
                                  <w:tcW w:w="1134" w:type="dxa"/>
                                  <w:tcBorders>
                                    <w:top w:val="single" w:color="000000" w:sz="4" w:space="0"/>
                                    <w:left w:val="single" w:color="000000" w:sz="4" w:space="0"/>
                                    <w:bottom w:val="single" w:color="000000" w:sz="4" w:space="0"/>
                                    <w:right w:val="single" w:color="000000" w:sz="4" w:space="0"/>
                                  </w:tcBorders>
                                </w:tcPr>
                                <w:p w14:paraId="622ABC6F">
                                  <w:pPr>
                                    <w:widowControl/>
                                    <w:spacing w:line="320" w:lineRule="exact"/>
                                    <w:jc w:val="center"/>
                                    <w:textAlignment w:val="center"/>
                                    <w:rPr>
                                      <w:rFonts w:ascii="宋体" w:hAnsi="宋体" w:cs="宋体"/>
                                      <w:color w:val="000000"/>
                                      <w:szCs w:val="21"/>
                                    </w:rPr>
                                  </w:pPr>
                                </w:p>
                                <w:p w14:paraId="1645BFB4">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56F2E2C5">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10万（含）至100万</w:t>
                                  </w:r>
                                </w:p>
                              </w:tc>
                              <w:tc>
                                <w:tcPr>
                                  <w:tcW w:w="1418" w:type="dxa"/>
                                  <w:tcBorders>
                                    <w:top w:val="single" w:color="000000" w:sz="4" w:space="0"/>
                                    <w:left w:val="single" w:color="000000" w:sz="4" w:space="0"/>
                                    <w:bottom w:val="single" w:color="000000" w:sz="4" w:space="0"/>
                                    <w:right w:val="single" w:color="000000" w:sz="4" w:space="0"/>
                                  </w:tcBorders>
                                  <w:vAlign w:val="center"/>
                                </w:tcPr>
                                <w:p w14:paraId="2128EDCE">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100万以上</w:t>
                                  </w:r>
                                </w:p>
                              </w:tc>
                            </w:tr>
                            <w:tr w14:paraId="1591F6B5">
                              <w:tblPrEx>
                                <w:tblCellMar>
                                  <w:top w:w="15" w:type="dxa"/>
                                  <w:left w:w="15" w:type="dxa"/>
                                  <w:bottom w:w="15" w:type="dxa"/>
                                  <w:right w:w="15" w:type="dxa"/>
                                </w:tblCellMar>
                              </w:tblPrEx>
                              <w:trPr>
                                <w:trHeight w:val="653"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63FB9E9A">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机动费</w:t>
                                  </w:r>
                                </w:p>
                              </w:tc>
                              <w:tc>
                                <w:tcPr>
                                  <w:tcW w:w="851" w:type="dxa"/>
                                  <w:tcBorders>
                                    <w:top w:val="single" w:color="000000" w:sz="4" w:space="0"/>
                                    <w:left w:val="single" w:color="000000" w:sz="4" w:space="0"/>
                                    <w:bottom w:val="single" w:color="000000" w:sz="4" w:space="0"/>
                                    <w:right w:val="single" w:color="000000" w:sz="4" w:space="0"/>
                                  </w:tcBorders>
                                  <w:vAlign w:val="center"/>
                                </w:tcPr>
                                <w:p w14:paraId="6BB729F3">
                                  <w:pPr>
                                    <w:spacing w:line="320" w:lineRule="exact"/>
                                    <w:jc w:val="center"/>
                                    <w:rPr>
                                      <w:rFonts w:ascii="宋体" w:hAnsi="宋体" w:cs="宋体"/>
                                      <w:color w:val="000000"/>
                                      <w:szCs w:val="21"/>
                                    </w:rPr>
                                  </w:pPr>
                                  <w:r>
                                    <w:rPr>
                                      <w:rFonts w:hint="eastAsia" w:ascii="宋体" w:hAnsi="宋体" w:cs="宋体"/>
                                      <w:color w:val="000000"/>
                                      <w:szCs w:val="21"/>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162C81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7" w:type="dxa"/>
                                  <w:tcBorders>
                                    <w:top w:val="single" w:color="000000" w:sz="4" w:space="0"/>
                                    <w:left w:val="single" w:color="000000" w:sz="4" w:space="0"/>
                                    <w:bottom w:val="single" w:color="000000" w:sz="4" w:space="0"/>
                                    <w:right w:val="single" w:color="000000" w:sz="4" w:space="0"/>
                                  </w:tcBorders>
                                  <w:vAlign w:val="center"/>
                                </w:tcPr>
                                <w:p w14:paraId="5E6A0B3E">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C1EDA8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5205515">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10万以下</w:t>
                                  </w:r>
                                </w:p>
                              </w:tc>
                              <w:tc>
                                <w:tcPr>
                                  <w:tcW w:w="1418" w:type="dxa"/>
                                  <w:tcBorders>
                                    <w:top w:val="single" w:color="000000" w:sz="4" w:space="0"/>
                                    <w:left w:val="single" w:color="000000" w:sz="4" w:space="0"/>
                                    <w:bottom w:val="single" w:color="000000" w:sz="4" w:space="0"/>
                                    <w:right w:val="single" w:color="000000" w:sz="4" w:space="0"/>
                                  </w:tcBorders>
                                  <w:vAlign w:val="center"/>
                                </w:tcPr>
                                <w:p w14:paraId="4B6E56C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10万以上</w:t>
                                  </w:r>
                                </w:p>
                              </w:tc>
                              <w:tc>
                                <w:tcPr>
                                  <w:tcW w:w="1418" w:type="dxa"/>
                                  <w:tcBorders>
                                    <w:top w:val="single" w:color="000000" w:sz="4" w:space="0"/>
                                    <w:left w:val="single" w:color="000000" w:sz="4" w:space="0"/>
                                    <w:bottom w:val="single" w:color="000000" w:sz="4" w:space="0"/>
                                    <w:right w:val="single" w:color="000000" w:sz="4" w:space="0"/>
                                  </w:tcBorders>
                                  <w:vAlign w:val="center"/>
                                </w:tcPr>
                                <w:p w14:paraId="69040A1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10万以上</w:t>
                                  </w:r>
                                </w:p>
                              </w:tc>
                            </w:tr>
                          </w:tbl>
                          <w:p w14:paraId="09CCB600"/>
                        </w:txbxContent>
                      </wps:txbx>
                      <wps:bodyPr upright="1"/>
                    </wps:wsp>
                  </a:graphicData>
                </a:graphic>
              </wp:anchor>
            </w:drawing>
          </mc:Choice>
          <mc:Fallback>
            <w:pict>
              <v:shape id="_x0000_s1026" o:spid="_x0000_s1026" o:spt="202" type="#_x0000_t202" style="position:absolute;left:0pt;margin-left:-30.3pt;margin-top:12.9pt;height:233.25pt;width:523.5pt;z-index:251659264;mso-width-relative:page;mso-height-relative:page;" fillcolor="#FFFFFF" filled="t" stroked="f" coordsize="21600,21600" o:gfxdata="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QleJc2QAAAAoBAAAPAAAAAAAAAAEAIAAAACIAAABkcnMvZG93bnJl&#10;di54bWxQSwECFAAUAAAACACHTuJA1d6lkcMBAAB8AwAADgAAAAAAAAABACAAAAAoAQAAZHJzL2Uy&#10;b0RvYy54bWxQSwUGAAAAAAYABgBZAQAAXQUAAAAA&#10;">
                <v:fill on="t" focussize="0,0"/>
                <v:stroke on="f"/>
                <v:imagedata o:title=""/>
                <o:lock v:ext="edit" aspectratio="f"/>
                <v:textbox>
                  <w:txbxContent>
                    <w:tbl>
                      <w:tblPr>
                        <w:tblStyle w:val="4"/>
                        <w:tblW w:w="10222" w:type="dxa"/>
                        <w:jc w:val="center"/>
                        <w:tblLayout w:type="fixed"/>
                        <w:tblCellMar>
                          <w:top w:w="15" w:type="dxa"/>
                          <w:left w:w="15" w:type="dxa"/>
                          <w:bottom w:w="15" w:type="dxa"/>
                          <w:right w:w="15" w:type="dxa"/>
                        </w:tblCellMar>
                      </w:tblPr>
                      <w:tblGrid>
                        <w:gridCol w:w="1149"/>
                        <w:gridCol w:w="851"/>
                        <w:gridCol w:w="1701"/>
                        <w:gridCol w:w="1417"/>
                        <w:gridCol w:w="1134"/>
                        <w:gridCol w:w="1134"/>
                        <w:gridCol w:w="1418"/>
                        <w:gridCol w:w="1418"/>
                      </w:tblGrid>
                      <w:tr w14:paraId="76E93BE7">
                        <w:tblPrEx>
                          <w:tblCellMar>
                            <w:top w:w="15" w:type="dxa"/>
                            <w:left w:w="15" w:type="dxa"/>
                            <w:bottom w:w="15" w:type="dxa"/>
                            <w:right w:w="15" w:type="dxa"/>
                          </w:tblCellMar>
                        </w:tblPrEx>
                        <w:trPr>
                          <w:trHeight w:val="112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125C38FC">
                            <w:pPr>
                              <w:spacing w:line="320" w:lineRule="exact"/>
                              <w:jc w:val="center"/>
                              <w:rPr>
                                <w:rFonts w:ascii="宋体" w:hAnsi="宋体" w:cs="宋体"/>
                                <w:b/>
                                <w:bCs/>
                                <w:color w:val="000000"/>
                                <w:szCs w:val="21"/>
                              </w:rPr>
                            </w:pPr>
                            <w:r>
                              <w:rPr>
                                <w:rFonts w:hint="eastAsia" w:ascii="宋体" w:hAnsi="宋体" w:cs="宋体"/>
                                <w:b/>
                                <w:bCs/>
                                <w:color w:val="000000"/>
                                <w:szCs w:val="21"/>
                              </w:rPr>
                              <w:t>审批权限</w:t>
                            </w:r>
                          </w:p>
                        </w:tc>
                        <w:tc>
                          <w:tcPr>
                            <w:tcW w:w="851" w:type="dxa"/>
                            <w:tcBorders>
                              <w:top w:val="single" w:color="000000" w:sz="4" w:space="0"/>
                              <w:left w:val="single" w:color="000000" w:sz="4" w:space="0"/>
                              <w:bottom w:val="single" w:color="000000" w:sz="4" w:space="0"/>
                              <w:right w:val="single" w:color="000000" w:sz="4" w:space="0"/>
                            </w:tcBorders>
                            <w:vAlign w:val="center"/>
                          </w:tcPr>
                          <w:p w14:paraId="2A76E5AC">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项目负责人</w:t>
                            </w:r>
                          </w:p>
                        </w:tc>
                        <w:tc>
                          <w:tcPr>
                            <w:tcW w:w="1701" w:type="dxa"/>
                            <w:tcBorders>
                              <w:top w:val="single" w:color="000000" w:sz="4" w:space="0"/>
                              <w:left w:val="single" w:color="000000" w:sz="4" w:space="0"/>
                              <w:bottom w:val="single" w:color="000000" w:sz="4" w:space="0"/>
                              <w:right w:val="single" w:color="000000" w:sz="4" w:space="0"/>
                            </w:tcBorders>
                            <w:vAlign w:val="center"/>
                          </w:tcPr>
                          <w:p w14:paraId="1A79CE1C">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各处（室）、系（院/部）、中心（馆）负责人</w:t>
                            </w:r>
                          </w:p>
                        </w:tc>
                        <w:tc>
                          <w:tcPr>
                            <w:tcW w:w="1417" w:type="dxa"/>
                            <w:tcBorders>
                              <w:top w:val="single" w:color="000000" w:sz="4" w:space="0"/>
                              <w:left w:val="single" w:color="000000" w:sz="4" w:space="0"/>
                              <w:bottom w:val="single" w:color="000000" w:sz="4" w:space="0"/>
                              <w:right w:val="single" w:color="000000" w:sz="4" w:space="0"/>
                            </w:tcBorders>
                            <w:vAlign w:val="center"/>
                          </w:tcPr>
                          <w:p w14:paraId="17E8C17D">
                            <w:pPr>
                              <w:widowControl/>
                              <w:spacing w:line="320" w:lineRule="exact"/>
                              <w:jc w:val="center"/>
                              <w:textAlignment w:val="center"/>
                              <w:rPr>
                                <w:rFonts w:ascii="宋体" w:hAnsi="宋体" w:cs="宋体"/>
                                <w:b/>
                                <w:bCs/>
                                <w:szCs w:val="21"/>
                              </w:rPr>
                            </w:pPr>
                            <w:r>
                              <w:rPr>
                                <w:rFonts w:hint="eastAsia" w:ascii="宋体" w:hAnsi="宋体" w:cs="宋体"/>
                                <w:b/>
                                <w:bCs/>
                                <w:szCs w:val="21"/>
                              </w:rPr>
                              <w:t>分管业务院领导</w:t>
                            </w:r>
                          </w:p>
                        </w:tc>
                        <w:tc>
                          <w:tcPr>
                            <w:tcW w:w="1134" w:type="dxa"/>
                            <w:tcBorders>
                              <w:top w:val="single" w:color="000000" w:sz="4" w:space="0"/>
                              <w:left w:val="single" w:color="000000" w:sz="4" w:space="0"/>
                              <w:bottom w:val="single" w:color="000000" w:sz="4" w:space="0"/>
                              <w:right w:val="single" w:color="000000" w:sz="4" w:space="0"/>
                            </w:tcBorders>
                            <w:vAlign w:val="center"/>
                          </w:tcPr>
                          <w:p w14:paraId="1F81912B">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分管财务副院长</w:t>
                            </w:r>
                          </w:p>
                        </w:tc>
                        <w:tc>
                          <w:tcPr>
                            <w:tcW w:w="1134" w:type="dxa"/>
                            <w:tcBorders>
                              <w:top w:val="single" w:color="000000" w:sz="4" w:space="0"/>
                              <w:left w:val="single" w:color="000000" w:sz="4" w:space="0"/>
                              <w:bottom w:val="single" w:color="000000" w:sz="4" w:space="0"/>
                              <w:right w:val="single" w:color="000000" w:sz="4" w:space="0"/>
                            </w:tcBorders>
                            <w:vAlign w:val="center"/>
                          </w:tcPr>
                          <w:p w14:paraId="606B0882">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院长</w:t>
                            </w:r>
                          </w:p>
                        </w:tc>
                        <w:tc>
                          <w:tcPr>
                            <w:tcW w:w="1418" w:type="dxa"/>
                            <w:tcBorders>
                              <w:top w:val="single" w:color="000000" w:sz="4" w:space="0"/>
                              <w:left w:val="single" w:color="000000" w:sz="4" w:space="0"/>
                              <w:bottom w:val="single" w:color="000000" w:sz="4" w:space="0"/>
                              <w:right w:val="single" w:color="000000" w:sz="4" w:space="0"/>
                            </w:tcBorders>
                            <w:vAlign w:val="center"/>
                          </w:tcPr>
                          <w:p w14:paraId="5DA737FF">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院长办公会</w:t>
                            </w:r>
                          </w:p>
                        </w:tc>
                        <w:tc>
                          <w:tcPr>
                            <w:tcW w:w="1418" w:type="dxa"/>
                            <w:tcBorders>
                              <w:top w:val="single" w:color="000000" w:sz="4" w:space="0"/>
                              <w:left w:val="single" w:color="000000" w:sz="4" w:space="0"/>
                              <w:bottom w:val="single" w:color="000000" w:sz="4" w:space="0"/>
                              <w:right w:val="single" w:color="000000" w:sz="4" w:space="0"/>
                            </w:tcBorders>
                            <w:vAlign w:val="center"/>
                          </w:tcPr>
                          <w:p w14:paraId="359D9DB2">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党委会</w:t>
                            </w:r>
                          </w:p>
                        </w:tc>
                      </w:tr>
                      <w:tr w14:paraId="165F3001">
                        <w:tblPrEx>
                          <w:tblCellMar>
                            <w:top w:w="15" w:type="dxa"/>
                            <w:left w:w="15" w:type="dxa"/>
                            <w:bottom w:w="15" w:type="dxa"/>
                            <w:right w:w="15" w:type="dxa"/>
                          </w:tblCellMar>
                        </w:tblPrEx>
                        <w:trPr>
                          <w:trHeight w:val="79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17D43281">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项目经费</w:t>
                            </w:r>
                          </w:p>
                        </w:tc>
                        <w:tc>
                          <w:tcPr>
                            <w:tcW w:w="851" w:type="dxa"/>
                            <w:tcBorders>
                              <w:top w:val="single" w:color="000000" w:sz="4" w:space="0"/>
                              <w:left w:val="single" w:color="000000" w:sz="4" w:space="0"/>
                              <w:bottom w:val="single" w:color="000000" w:sz="4" w:space="0"/>
                              <w:right w:val="single" w:color="000000" w:sz="4" w:space="0"/>
                            </w:tcBorders>
                            <w:vAlign w:val="center"/>
                          </w:tcPr>
                          <w:p w14:paraId="79AA3F0B">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1万</w:t>
                            </w:r>
                          </w:p>
                        </w:tc>
                        <w:tc>
                          <w:tcPr>
                            <w:tcW w:w="1701" w:type="dxa"/>
                            <w:tcBorders>
                              <w:top w:val="single" w:color="000000" w:sz="4" w:space="0"/>
                              <w:left w:val="single" w:color="000000" w:sz="4" w:space="0"/>
                              <w:bottom w:val="single" w:color="000000" w:sz="4" w:space="0"/>
                              <w:right w:val="single" w:color="000000" w:sz="4" w:space="0"/>
                            </w:tcBorders>
                            <w:vAlign w:val="center"/>
                          </w:tcPr>
                          <w:p w14:paraId="1C0034AC">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1万（含）</w:t>
                            </w:r>
                          </w:p>
                          <w:p w14:paraId="600E5BFC">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至3万</w:t>
                            </w:r>
                          </w:p>
                        </w:tc>
                        <w:tc>
                          <w:tcPr>
                            <w:tcW w:w="1417" w:type="dxa"/>
                            <w:tcBorders>
                              <w:top w:val="single" w:color="000000" w:sz="4" w:space="0"/>
                              <w:left w:val="single" w:color="000000" w:sz="4" w:space="0"/>
                              <w:bottom w:val="single" w:color="000000" w:sz="4" w:space="0"/>
                              <w:right w:val="single" w:color="000000" w:sz="4" w:space="0"/>
                            </w:tcBorders>
                            <w:vAlign w:val="center"/>
                          </w:tcPr>
                          <w:p w14:paraId="343A465B">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3万（含）至10万</w:t>
                            </w:r>
                          </w:p>
                        </w:tc>
                        <w:tc>
                          <w:tcPr>
                            <w:tcW w:w="1134" w:type="dxa"/>
                            <w:tcBorders>
                              <w:top w:val="single" w:color="000000" w:sz="4" w:space="0"/>
                              <w:left w:val="single" w:color="000000" w:sz="4" w:space="0"/>
                              <w:bottom w:val="single" w:color="000000" w:sz="4" w:space="0"/>
                              <w:right w:val="single" w:color="000000" w:sz="4" w:space="0"/>
                            </w:tcBorders>
                            <w:vAlign w:val="center"/>
                          </w:tcPr>
                          <w:p w14:paraId="2B81D9FD">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tcPr>
                          <w:p w14:paraId="1B5A9DA0">
                            <w:pPr>
                              <w:widowControl/>
                              <w:spacing w:line="320" w:lineRule="exact"/>
                              <w:jc w:val="center"/>
                              <w:textAlignment w:val="center"/>
                              <w:rPr>
                                <w:rFonts w:ascii="宋体" w:hAnsi="宋体" w:cs="宋体"/>
                                <w:color w:val="000000"/>
                                <w:szCs w:val="21"/>
                              </w:rPr>
                            </w:pPr>
                          </w:p>
                          <w:p w14:paraId="3281BED5">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1B7DEAB1">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10万（含）至100万</w:t>
                            </w:r>
                          </w:p>
                        </w:tc>
                        <w:tc>
                          <w:tcPr>
                            <w:tcW w:w="1418" w:type="dxa"/>
                            <w:tcBorders>
                              <w:top w:val="single" w:color="000000" w:sz="4" w:space="0"/>
                              <w:left w:val="single" w:color="000000" w:sz="4" w:space="0"/>
                              <w:bottom w:val="single" w:color="000000" w:sz="4" w:space="0"/>
                              <w:right w:val="single" w:color="000000" w:sz="4" w:space="0"/>
                            </w:tcBorders>
                            <w:vAlign w:val="center"/>
                          </w:tcPr>
                          <w:p w14:paraId="744E3764">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100万以上</w:t>
                            </w:r>
                          </w:p>
                        </w:tc>
                      </w:tr>
                      <w:tr w14:paraId="57DC694C">
                        <w:tblPrEx>
                          <w:tblCellMar>
                            <w:top w:w="15" w:type="dxa"/>
                            <w:left w:w="15" w:type="dxa"/>
                            <w:bottom w:w="15" w:type="dxa"/>
                            <w:right w:w="15" w:type="dxa"/>
                          </w:tblCellMar>
                        </w:tblPrEx>
                        <w:trPr>
                          <w:trHeight w:val="79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7EB9B4B2">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部门经费</w:t>
                            </w:r>
                          </w:p>
                        </w:tc>
                        <w:tc>
                          <w:tcPr>
                            <w:tcW w:w="851" w:type="dxa"/>
                            <w:tcBorders>
                              <w:top w:val="single" w:color="000000" w:sz="4" w:space="0"/>
                              <w:left w:val="single" w:color="000000" w:sz="4" w:space="0"/>
                              <w:bottom w:val="single" w:color="000000" w:sz="4" w:space="0"/>
                              <w:right w:val="single" w:color="000000" w:sz="4" w:space="0"/>
                            </w:tcBorders>
                            <w:vAlign w:val="center"/>
                          </w:tcPr>
                          <w:p w14:paraId="2D8DDB8D">
                            <w:pPr>
                              <w:spacing w:line="320" w:lineRule="exact"/>
                              <w:jc w:val="center"/>
                              <w:rPr>
                                <w:rFonts w:ascii="宋体" w:hAnsi="宋体" w:cs="宋体"/>
                                <w:color w:val="000000"/>
                                <w:szCs w:val="21"/>
                              </w:rPr>
                            </w:pPr>
                            <w:r>
                              <w:rPr>
                                <w:rFonts w:hint="eastAsia" w:ascii="宋体" w:hAnsi="宋体" w:cs="宋体"/>
                                <w:color w:val="000000"/>
                                <w:szCs w:val="21"/>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38F7829">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3万以下</w:t>
                            </w:r>
                          </w:p>
                        </w:tc>
                        <w:tc>
                          <w:tcPr>
                            <w:tcW w:w="1417" w:type="dxa"/>
                            <w:tcBorders>
                              <w:top w:val="single" w:color="000000" w:sz="4" w:space="0"/>
                              <w:left w:val="single" w:color="000000" w:sz="4" w:space="0"/>
                              <w:bottom w:val="single" w:color="000000" w:sz="4" w:space="0"/>
                              <w:right w:val="single" w:color="000000" w:sz="4" w:space="0"/>
                            </w:tcBorders>
                            <w:vAlign w:val="center"/>
                          </w:tcPr>
                          <w:p w14:paraId="4C9225B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3万（含）至10万</w:t>
                            </w:r>
                          </w:p>
                        </w:tc>
                        <w:tc>
                          <w:tcPr>
                            <w:tcW w:w="1134" w:type="dxa"/>
                            <w:tcBorders>
                              <w:top w:val="single" w:color="000000" w:sz="4" w:space="0"/>
                              <w:left w:val="single" w:color="000000" w:sz="4" w:space="0"/>
                              <w:bottom w:val="single" w:color="000000" w:sz="4" w:space="0"/>
                              <w:right w:val="single" w:color="000000" w:sz="4" w:space="0"/>
                            </w:tcBorders>
                            <w:vAlign w:val="center"/>
                          </w:tcPr>
                          <w:p w14:paraId="5FFCCF70">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tcPr>
                          <w:p w14:paraId="5478A484">
                            <w:pPr>
                              <w:widowControl/>
                              <w:spacing w:line="320" w:lineRule="exact"/>
                              <w:jc w:val="center"/>
                              <w:textAlignment w:val="center"/>
                              <w:rPr>
                                <w:rFonts w:ascii="宋体" w:hAnsi="宋体" w:cs="宋体"/>
                                <w:color w:val="000000"/>
                                <w:szCs w:val="21"/>
                              </w:rPr>
                            </w:pPr>
                          </w:p>
                          <w:p w14:paraId="2CBC5990">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4554A57D">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10万（含）至100万</w:t>
                            </w:r>
                          </w:p>
                        </w:tc>
                        <w:tc>
                          <w:tcPr>
                            <w:tcW w:w="1418" w:type="dxa"/>
                            <w:tcBorders>
                              <w:top w:val="single" w:color="000000" w:sz="4" w:space="0"/>
                              <w:left w:val="single" w:color="000000" w:sz="4" w:space="0"/>
                              <w:bottom w:val="single" w:color="000000" w:sz="4" w:space="0"/>
                              <w:right w:val="single" w:color="000000" w:sz="4" w:space="0"/>
                            </w:tcBorders>
                            <w:vAlign w:val="center"/>
                          </w:tcPr>
                          <w:p w14:paraId="3405F117">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100万以上</w:t>
                            </w:r>
                          </w:p>
                        </w:tc>
                      </w:tr>
                      <w:tr w14:paraId="378B1EBA">
                        <w:tblPrEx>
                          <w:tblCellMar>
                            <w:top w:w="15" w:type="dxa"/>
                            <w:left w:w="15" w:type="dxa"/>
                            <w:bottom w:w="15" w:type="dxa"/>
                            <w:right w:w="15" w:type="dxa"/>
                          </w:tblCellMar>
                        </w:tblPrEx>
                        <w:trPr>
                          <w:trHeight w:val="794"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47157DDF">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学院</w:t>
                            </w:r>
                          </w:p>
                          <w:p w14:paraId="6C3A9B77">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公共经费</w:t>
                            </w:r>
                          </w:p>
                        </w:tc>
                        <w:tc>
                          <w:tcPr>
                            <w:tcW w:w="851" w:type="dxa"/>
                            <w:tcBorders>
                              <w:top w:val="single" w:color="000000" w:sz="4" w:space="0"/>
                              <w:left w:val="single" w:color="000000" w:sz="4" w:space="0"/>
                              <w:bottom w:val="single" w:color="000000" w:sz="4" w:space="0"/>
                              <w:right w:val="single" w:color="000000" w:sz="4" w:space="0"/>
                            </w:tcBorders>
                            <w:vAlign w:val="center"/>
                          </w:tcPr>
                          <w:p w14:paraId="3D267B68">
                            <w:pPr>
                              <w:spacing w:line="320" w:lineRule="exact"/>
                              <w:jc w:val="center"/>
                              <w:rPr>
                                <w:rFonts w:ascii="宋体" w:hAnsi="宋体" w:cs="宋体"/>
                                <w:color w:val="000000"/>
                                <w:szCs w:val="21"/>
                              </w:rPr>
                            </w:pPr>
                            <w:r>
                              <w:rPr>
                                <w:rFonts w:hint="eastAsia" w:ascii="宋体" w:hAnsi="宋体" w:cs="宋体"/>
                                <w:color w:val="000000"/>
                                <w:szCs w:val="21"/>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942D641">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7" w:type="dxa"/>
                            <w:tcBorders>
                              <w:top w:val="single" w:color="000000" w:sz="4" w:space="0"/>
                              <w:left w:val="single" w:color="000000" w:sz="4" w:space="0"/>
                              <w:bottom w:val="single" w:color="000000" w:sz="4" w:space="0"/>
                              <w:right w:val="single" w:color="000000" w:sz="4" w:space="0"/>
                            </w:tcBorders>
                            <w:vAlign w:val="center"/>
                          </w:tcPr>
                          <w:p w14:paraId="786C3BB3">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1A90034F">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10万以下</w:t>
                            </w:r>
                          </w:p>
                        </w:tc>
                        <w:tc>
                          <w:tcPr>
                            <w:tcW w:w="1134" w:type="dxa"/>
                            <w:tcBorders>
                              <w:top w:val="single" w:color="000000" w:sz="4" w:space="0"/>
                              <w:left w:val="single" w:color="000000" w:sz="4" w:space="0"/>
                              <w:bottom w:val="single" w:color="000000" w:sz="4" w:space="0"/>
                              <w:right w:val="single" w:color="000000" w:sz="4" w:space="0"/>
                            </w:tcBorders>
                          </w:tcPr>
                          <w:p w14:paraId="622ABC6F">
                            <w:pPr>
                              <w:widowControl/>
                              <w:spacing w:line="320" w:lineRule="exact"/>
                              <w:jc w:val="center"/>
                              <w:textAlignment w:val="center"/>
                              <w:rPr>
                                <w:rFonts w:ascii="宋体" w:hAnsi="宋体" w:cs="宋体"/>
                                <w:color w:val="000000"/>
                                <w:szCs w:val="21"/>
                              </w:rPr>
                            </w:pPr>
                          </w:p>
                          <w:p w14:paraId="1645BFB4">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56F2E2C5">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10万（含）至100万</w:t>
                            </w:r>
                          </w:p>
                        </w:tc>
                        <w:tc>
                          <w:tcPr>
                            <w:tcW w:w="1418" w:type="dxa"/>
                            <w:tcBorders>
                              <w:top w:val="single" w:color="000000" w:sz="4" w:space="0"/>
                              <w:left w:val="single" w:color="000000" w:sz="4" w:space="0"/>
                              <w:bottom w:val="single" w:color="000000" w:sz="4" w:space="0"/>
                              <w:right w:val="single" w:color="000000" w:sz="4" w:space="0"/>
                            </w:tcBorders>
                            <w:vAlign w:val="center"/>
                          </w:tcPr>
                          <w:p w14:paraId="2128EDCE">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100万以上</w:t>
                            </w:r>
                          </w:p>
                        </w:tc>
                      </w:tr>
                      <w:tr w14:paraId="1591F6B5">
                        <w:tblPrEx>
                          <w:tblCellMar>
                            <w:top w:w="15" w:type="dxa"/>
                            <w:left w:w="15" w:type="dxa"/>
                            <w:bottom w:w="15" w:type="dxa"/>
                            <w:right w:w="15" w:type="dxa"/>
                          </w:tblCellMar>
                        </w:tblPrEx>
                        <w:trPr>
                          <w:trHeight w:val="653"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63FB9E9A">
                            <w:pPr>
                              <w:widowControl/>
                              <w:spacing w:line="320" w:lineRule="exact"/>
                              <w:jc w:val="center"/>
                              <w:textAlignment w:val="center"/>
                              <w:rPr>
                                <w:rFonts w:ascii="宋体" w:hAnsi="宋体" w:cs="宋体"/>
                                <w:b/>
                                <w:bCs/>
                                <w:color w:val="000000"/>
                                <w:szCs w:val="21"/>
                              </w:rPr>
                            </w:pPr>
                            <w:r>
                              <w:rPr>
                                <w:rFonts w:hint="eastAsia" w:ascii="宋体" w:hAnsi="宋体" w:cs="宋体"/>
                                <w:b/>
                                <w:bCs/>
                                <w:color w:val="000000"/>
                                <w:szCs w:val="21"/>
                              </w:rPr>
                              <w:t>机动费</w:t>
                            </w:r>
                          </w:p>
                        </w:tc>
                        <w:tc>
                          <w:tcPr>
                            <w:tcW w:w="851" w:type="dxa"/>
                            <w:tcBorders>
                              <w:top w:val="single" w:color="000000" w:sz="4" w:space="0"/>
                              <w:left w:val="single" w:color="000000" w:sz="4" w:space="0"/>
                              <w:bottom w:val="single" w:color="000000" w:sz="4" w:space="0"/>
                              <w:right w:val="single" w:color="000000" w:sz="4" w:space="0"/>
                            </w:tcBorders>
                            <w:vAlign w:val="center"/>
                          </w:tcPr>
                          <w:p w14:paraId="6BB729F3">
                            <w:pPr>
                              <w:spacing w:line="320" w:lineRule="exact"/>
                              <w:jc w:val="center"/>
                              <w:rPr>
                                <w:rFonts w:ascii="宋体" w:hAnsi="宋体" w:cs="宋体"/>
                                <w:color w:val="000000"/>
                                <w:szCs w:val="21"/>
                              </w:rPr>
                            </w:pPr>
                            <w:r>
                              <w:rPr>
                                <w:rFonts w:hint="eastAsia" w:ascii="宋体" w:hAnsi="宋体" w:cs="宋体"/>
                                <w:color w:val="000000"/>
                                <w:szCs w:val="21"/>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162C81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417" w:type="dxa"/>
                            <w:tcBorders>
                              <w:top w:val="single" w:color="000000" w:sz="4" w:space="0"/>
                              <w:left w:val="single" w:color="000000" w:sz="4" w:space="0"/>
                              <w:bottom w:val="single" w:color="000000" w:sz="4" w:space="0"/>
                              <w:right w:val="single" w:color="000000" w:sz="4" w:space="0"/>
                            </w:tcBorders>
                            <w:vAlign w:val="center"/>
                          </w:tcPr>
                          <w:p w14:paraId="5E6A0B3E">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5C1EDA8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65205515">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10万以下</w:t>
                            </w:r>
                          </w:p>
                        </w:tc>
                        <w:tc>
                          <w:tcPr>
                            <w:tcW w:w="1418" w:type="dxa"/>
                            <w:tcBorders>
                              <w:top w:val="single" w:color="000000" w:sz="4" w:space="0"/>
                              <w:left w:val="single" w:color="000000" w:sz="4" w:space="0"/>
                              <w:bottom w:val="single" w:color="000000" w:sz="4" w:space="0"/>
                              <w:right w:val="single" w:color="000000" w:sz="4" w:space="0"/>
                            </w:tcBorders>
                            <w:vAlign w:val="center"/>
                          </w:tcPr>
                          <w:p w14:paraId="4B6E56C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10万以上</w:t>
                            </w:r>
                          </w:p>
                        </w:tc>
                        <w:tc>
                          <w:tcPr>
                            <w:tcW w:w="1418" w:type="dxa"/>
                            <w:tcBorders>
                              <w:top w:val="single" w:color="000000" w:sz="4" w:space="0"/>
                              <w:left w:val="single" w:color="000000" w:sz="4" w:space="0"/>
                              <w:bottom w:val="single" w:color="000000" w:sz="4" w:space="0"/>
                              <w:right w:val="single" w:color="000000" w:sz="4" w:space="0"/>
                            </w:tcBorders>
                            <w:vAlign w:val="center"/>
                          </w:tcPr>
                          <w:p w14:paraId="69040A18">
                            <w:pPr>
                              <w:widowControl/>
                              <w:spacing w:line="320" w:lineRule="exact"/>
                              <w:jc w:val="center"/>
                              <w:textAlignment w:val="center"/>
                              <w:rPr>
                                <w:rFonts w:ascii="宋体" w:hAnsi="宋体" w:cs="宋体"/>
                                <w:color w:val="000000"/>
                                <w:szCs w:val="21"/>
                              </w:rPr>
                            </w:pPr>
                            <w:r>
                              <w:rPr>
                                <w:rFonts w:hint="eastAsia" w:ascii="宋体" w:hAnsi="宋体" w:cs="宋体"/>
                                <w:color w:val="000000"/>
                                <w:szCs w:val="21"/>
                              </w:rPr>
                              <w:t>10万以上</w:t>
                            </w:r>
                          </w:p>
                        </w:tc>
                      </w:tr>
                    </w:tbl>
                    <w:p w14:paraId="09CCB600"/>
                  </w:txbxContent>
                </v:textbox>
              </v:shape>
            </w:pict>
          </mc:Fallback>
        </mc:AlternateContent>
      </w:r>
    </w:p>
    <w:p w14:paraId="7A65BCA3">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127EC8EE">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3C6B3128">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27E59C3A">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3F00770E">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7F5F7B6C">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08527E55">
      <w:pPr>
        <w:keepNext w:val="0"/>
        <w:keepLines w:val="0"/>
        <w:pageBreakBefore w:val="0"/>
        <w:widowControl/>
        <w:kinsoku/>
        <w:wordWrap/>
        <w:overflowPunct/>
        <w:topLinePunct w:val="0"/>
        <w:autoSpaceDE/>
        <w:autoSpaceDN/>
        <w:bidi w:val="0"/>
        <w:adjustRightInd/>
        <w:spacing w:line="440" w:lineRule="exact"/>
        <w:ind w:firstLine="480" w:firstLineChars="200"/>
        <w:textAlignment w:val="center"/>
        <w:outlineLvl w:val="1"/>
        <w:rPr>
          <w:rFonts w:ascii="宋体" w:hAnsi="宋体" w:cs="宋体"/>
          <w:color w:val="auto"/>
          <w:sz w:val="24"/>
        </w:rPr>
      </w:pPr>
    </w:p>
    <w:p w14:paraId="653C863F">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第七条</w:t>
      </w:r>
      <w:r>
        <w:rPr>
          <w:rFonts w:hint="eastAsia" w:ascii="宋体" w:hAnsi="宋体" w:cs="宋体"/>
          <w:color w:val="auto"/>
          <w:sz w:val="24"/>
        </w:rPr>
        <w:t xml:space="preserve">  人员费用支出按第六条规定权限审批，并按以下要求增加审批环节：</w:t>
      </w:r>
    </w:p>
    <w:p w14:paraId="3B14D1DE">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（一）科研项目绩效支出、横向科研经费用于人员的支出须报科研处审批； 项目负责人非院领导但发放对象含有院领导的，由院长审批；</w:t>
      </w:r>
      <w:bookmarkStart w:id="8" w:name="OLE_LINK3"/>
      <w:bookmarkStart w:id="9" w:name="OLE_LINK4"/>
      <w:r>
        <w:rPr>
          <w:rFonts w:hint="eastAsia" w:ascii="宋体" w:hAnsi="宋体" w:cs="宋体"/>
          <w:color w:val="auto"/>
          <w:sz w:val="24"/>
        </w:rPr>
        <w:t>发放对象含主要院领导的，由</w:t>
      </w:r>
      <w:bookmarkEnd w:id="8"/>
      <w:bookmarkEnd w:id="9"/>
      <w:r>
        <w:rPr>
          <w:rFonts w:hint="eastAsia" w:ascii="宋体" w:hAnsi="宋体" w:cs="宋体"/>
          <w:color w:val="auto"/>
          <w:sz w:val="24"/>
        </w:rPr>
        <w:t>分管财务院领导审批；</w:t>
      </w:r>
    </w:p>
    <w:p w14:paraId="547EE44D">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（二）其他非学院统一发放的人员经费中，发放对象含有经费签批人的，由分管业务院领导审批；发放对象含有分管副职院领导的，由院长审批；发放对象含主要院级领导的，由分管财务院领导审批。</w:t>
      </w:r>
    </w:p>
    <w:p w14:paraId="1BF7B536">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第七条</w:t>
      </w:r>
      <w:r>
        <w:rPr>
          <w:rFonts w:hint="eastAsia" w:ascii="宋体" w:hAnsi="宋体" w:cs="宋体"/>
          <w:color w:val="auto"/>
          <w:sz w:val="24"/>
        </w:rPr>
        <w:t xml:space="preserve">  为简化工作流程，学院部分已按第六条规定权限事前办理审批手续的经济业务、已有既定标准或政策性支出业务、代收代支业务，支付时按以下权限审批：</w:t>
      </w:r>
    </w:p>
    <w:p w14:paraId="209D2C44">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(一)事前已经办理审批手续的经济业务</w:t>
      </w:r>
    </w:p>
    <w:p w14:paraId="31232E19">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1.教职工出差前须完成审批程序，按学院考勤制度相关规定办理事前报批手续。已按第六条及出差、培训等相关管理规定办理审批，在预算限额内且与审批内容一致的差旅、培训借款及按规定支付的费用，在项目经费中开支的，由项目负责人审批；出差人为项目负责人的，由部门负责人审批。在部门或公共经费中开支的，由部门负责人审批；出差人为部门负责人的，由分管院领导审批。在公共经费开支的，副职院领导出差，由分管财务的院领导审批；分管财务的院领导出差，由院长审批。</w:t>
      </w:r>
    </w:p>
    <w:p w14:paraId="30C7B929">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2.已按第六条及“三重一大”规定立项审批并按规定履行了相关程序的采购或合同，金额在10万元以下的借款或款项支付，由项目负责人审批；10万元以上款项支付，由部门负责人加签意见后报分管业务院领导审批。</w:t>
      </w:r>
    </w:p>
    <w:p w14:paraId="7C647EE5">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3.与借款用途相符的冲账支出，由部门负责人（项目负责人）审批；不相符的，不予报销。</w:t>
      </w:r>
    </w:p>
    <w:p w14:paraId="4AC3D7CC">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（二）已有既定标准或政策性支出业务</w:t>
      </w:r>
    </w:p>
    <w:p w14:paraId="68C82ED1">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1.与教职工薪酬待遇相关的工资、津贴补贴、奖金、离退休人员经费及生活补贴、缴纳住房公积金、养老保险金、医疗保险金、失业保险金、按政策规定支出的计划生育奖、职工探亲路费、抚恤金、遗属补贴、丧葬费、教职工体检费（含新入职人员）等，正常劳务费及值班费统一纳入绩效工资，由人事处负责人审核，报分管院领导审批。</w:t>
      </w:r>
    </w:p>
    <w:p w14:paraId="291F2B9C">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2.各项税金上缴，银行手续费支出，由计划财务处负责人审批。</w:t>
      </w:r>
    </w:p>
    <w:p w14:paraId="76516158">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3.按照上级和学院文件要求必须发放的省级、市级学生国家奖学金、助学金等专项资金的开支，助学贷款风险补偿金、学生综合测评奖金、学生勤工俭学补贴等院级奖助学金的开支，由学生工作处负责人审核，报分管院领导审批；</w:t>
      </w:r>
    </w:p>
    <w:p w14:paraId="0935AE9F">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4.各校区的水电费、电话费、锅炉燃料费，汽车维修申请报告及汽车燃料费、汽车维修费等，在预算额度范围内由校区负责人或校区办负责人审核，报分管院领导审批；</w:t>
      </w:r>
    </w:p>
    <w:p w14:paraId="658CB571">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院本部的水电费、电话费、锅炉燃料费，大客车发生的费用等由总务处负责人审核，小车发生的费用由学院办公室负责人审核，报分管院领导审批。</w:t>
      </w:r>
    </w:p>
    <w:p w14:paraId="68B8806E">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5. 教师的课时酬金按照汕头职业技术学院教学酬金相关管理规定计算，由各系分学期或者年度计算工作量及超额量，报教务处确认后报人事处，纳入绩效工资总量，具体按照绩效工资方案实施。</w:t>
      </w:r>
    </w:p>
    <w:p w14:paraId="174F4576">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6.外聘教师的课酬由各系计算，送教务处审核，并报人事处依据聘用合同审核，报分管业务院领导审批。</w:t>
      </w:r>
    </w:p>
    <w:p w14:paraId="2035583A">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7.按上级有关规定必须支付或者上缴的各项费用（如招生档案费、上缴财政指定专户的各类费用、上缴上级工会经费等等），由职能部门负责人审批。</w:t>
      </w:r>
    </w:p>
    <w:p w14:paraId="0D00D8A9">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（三）代收代支业务</w:t>
      </w:r>
    </w:p>
    <w:p w14:paraId="1E72DC19">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1.投标保证金、履约保证金等暂收款项退回，由职能部门负责人审批；</w:t>
      </w:r>
    </w:p>
    <w:p w14:paraId="7F279F91">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2.设备、家具、软件、大型修缮、零星维修等的质保金的返还由使用部门负责人审批。</w:t>
      </w:r>
    </w:p>
    <w:p w14:paraId="7D6A84D1">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3.一卡通业务与各商户的结算款，由职能部门负责人审批。</w:t>
      </w:r>
    </w:p>
    <w:p w14:paraId="6D4F203B">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第八条</w:t>
      </w:r>
      <w:r>
        <w:rPr>
          <w:rFonts w:hint="eastAsia" w:ascii="宋体" w:hAnsi="宋体" w:cs="宋体"/>
          <w:color w:val="auto"/>
          <w:sz w:val="24"/>
        </w:rPr>
        <w:t xml:space="preserve">  经费审批人应在预算项目开支范围内审批支出，超范围审批无效；所有经费原则上不得超预算开支，如遇工作任务发生重大变化或其他客观不可预见因素，需对经费做出调整的，已经通过院长办公会或党委会立项的项目及公共经费开支项目按学院预算管理办法相关规定执行；未达到“三重一大”决策要求且未超项目经费或部门经费预算的，按第六条规定权限审批。</w:t>
      </w:r>
    </w:p>
    <w:p w14:paraId="6E328378">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10" w:name="_Toc21239"/>
      <w:bookmarkStart w:id="11" w:name="_Toc18349"/>
      <w:r>
        <w:rPr>
          <w:rFonts w:hint="eastAsia"/>
          <w:b/>
          <w:bCs/>
          <w:color w:val="auto"/>
        </w:rPr>
        <w:t>第三章  报销票据要求</w:t>
      </w:r>
      <w:bookmarkEnd w:id="10"/>
      <w:bookmarkEnd w:id="11"/>
    </w:p>
    <w:p w14:paraId="4CFB2753">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第九条</w:t>
      </w:r>
      <w:r>
        <w:rPr>
          <w:rFonts w:hint="eastAsia" w:ascii="宋体" w:hAnsi="宋体" w:cs="宋体"/>
          <w:color w:val="auto"/>
          <w:sz w:val="24"/>
        </w:rPr>
        <w:t xml:space="preserve">  报销人员办理报销业务，应取得合格的原始凭证。报销的原始凭证必须是符合国家财税制度规定的发票、行政事业单位统一收款票据等；已和学院签订合同的，报销时应附合同复印件(复印件与原件一致）。</w:t>
      </w:r>
    </w:p>
    <w:p w14:paraId="25721E8F">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第十条</w:t>
      </w:r>
      <w:r>
        <w:rPr>
          <w:rFonts w:hint="eastAsia" w:ascii="宋体" w:hAnsi="宋体" w:cs="宋体"/>
          <w:color w:val="auto"/>
          <w:sz w:val="24"/>
        </w:rPr>
        <w:t xml:space="preserve">  原始凭证必须做到业务真实、要素齐全、字迹清晰、工整，要写明开票日期、收款业务内容、数量、单价和金额等，除车票、机票等特殊原始凭证外，付款单位名称应是“汕头职业技术学院”，并加盖开具单位发票专用章或财务专用章，电子发票按税法相关规定。自制原始凭证如工资单等需要多页汇总计算的，各页必须连续编码，由审批人在汇总页签批。</w:t>
      </w:r>
    </w:p>
    <w:p w14:paraId="014D440A">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第十一条</w:t>
      </w:r>
      <w:r>
        <w:rPr>
          <w:rFonts w:hint="eastAsia" w:ascii="宋体" w:hAnsi="宋体" w:cs="宋体"/>
          <w:color w:val="auto"/>
          <w:sz w:val="24"/>
        </w:rPr>
        <w:t xml:space="preserve">  原始凭证必须符合国家有关法规、制度的规定，不得伪造、变造、涂改、挖补、虚构业务、虚开发票，如确有涂改，涂改的地方须盖有发票专用章。对同一笔经济业务，不得蓄意拆分开具票据。</w:t>
      </w:r>
    </w:p>
    <w:p w14:paraId="06C6B08C">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第十二条</w:t>
      </w:r>
      <w:r>
        <w:rPr>
          <w:rFonts w:hint="eastAsia" w:ascii="宋体" w:hAnsi="宋体" w:cs="宋体"/>
          <w:color w:val="auto"/>
          <w:sz w:val="24"/>
        </w:rPr>
        <w:t xml:space="preserve">  购置办公用品、低值易耗品、材料、电子配件、图书等，报销时应附税局印制格式并加盖供货单位发票专用章的货物清单；需要存放到仓库的，报账前应填材料入库单，然后凭入库单连同发票按程序报批，入库单应有保管员或验收员签字；采用科研项目经费购置而没有办法存放到仓库的，必须在发票背面签上领用人员的姓名；检测费发票报销时须提供由出具单位盖章的检测测试清单或检测测试报告；如果由于网上购买，无法取得加盖印章清单的，则必须打印订单，两人以上验收签名。</w:t>
      </w:r>
    </w:p>
    <w:p w14:paraId="7818FB8A">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第十三条</w:t>
      </w:r>
      <w:r>
        <w:rPr>
          <w:rFonts w:hint="eastAsia" w:ascii="宋体" w:hAnsi="宋体" w:cs="宋体"/>
          <w:color w:val="auto"/>
          <w:sz w:val="24"/>
        </w:rPr>
        <w:t xml:space="preserve">  凡购买固定资产的，报账之前，先送资产管理部门登记，并填制固定资产增加单（一式四联），再凭填制的资产增加单（报账联）连同购物发票等相关资料按程序报批。</w:t>
      </w:r>
    </w:p>
    <w:p w14:paraId="3EF78F88">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第十四条</w:t>
      </w:r>
      <w:r>
        <w:rPr>
          <w:rFonts w:hint="eastAsia" w:ascii="宋体" w:hAnsi="宋体" w:cs="宋体"/>
          <w:color w:val="auto"/>
          <w:sz w:val="24"/>
        </w:rPr>
        <w:t xml:space="preserve"> 报账人必须将各种原始票据按经济内容进行分类，从右至左呈阶梯状依次粘贴在“原始凭证粘贴单”上，并根据报销内容填写与业务对应类型匹配的报销单，如实填写报销事由、金额和附件张数等。报账人、经手人、证明人（或验收人）和经费负责人在发票背面签名，经办人和验收人不能同为一人。不按照规范要求填写和粘贴的报销单，计划财务处不予受理。</w:t>
      </w:r>
    </w:p>
    <w:p w14:paraId="18580018">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第十五条</w:t>
      </w:r>
      <w:r>
        <w:rPr>
          <w:rFonts w:hint="eastAsia" w:ascii="宋体" w:hAnsi="宋体" w:cs="宋体"/>
          <w:color w:val="auto"/>
          <w:sz w:val="24"/>
        </w:rPr>
        <w:t xml:space="preserve">  当期发生的经济业务应及时报账，业务票据须合法且出具时间至报账时间最长不超过一年（含一年）。科研、课改等项目经费须在项目建设期结束三个月之内报账完毕。</w:t>
      </w:r>
    </w:p>
    <w:p w14:paraId="01D38DCB">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12" w:name="_Toc16061"/>
      <w:bookmarkStart w:id="13" w:name="_Toc13641"/>
      <w:r>
        <w:rPr>
          <w:rFonts w:hint="eastAsia"/>
          <w:b/>
          <w:bCs/>
          <w:color w:val="auto"/>
        </w:rPr>
        <w:t>第四章  财务结算方式</w:t>
      </w:r>
      <w:bookmarkEnd w:id="12"/>
      <w:bookmarkEnd w:id="13"/>
    </w:p>
    <w:p w14:paraId="1A4FB2B5">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第十六条</w:t>
      </w:r>
      <w:r>
        <w:rPr>
          <w:rFonts w:hint="eastAsia" w:ascii="宋体" w:hAnsi="宋体" w:cs="宋体"/>
          <w:color w:val="auto"/>
          <w:sz w:val="24"/>
        </w:rPr>
        <w:t xml:space="preserve">  按上级相关部门的要求，学院严格控制现金支出，单笔经济业务金额1000元及以上的支出，应该采用对公转账（支票或汇款）、公务卡方式结算，原则上不得使用现金结算。</w:t>
      </w:r>
    </w:p>
    <w:p w14:paraId="3BD0952A">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接待费、差旅费、培训费、办公用品等零星购买支出，原则上应严格执行《汕头职业技术学院财政公务卡管理办法》，使用财政公务卡方式转账结算，不得使用现金。其中，差旅补贴，也不得发放现金，由计划财务处直接转入个人账户。</w:t>
      </w:r>
    </w:p>
    <w:p w14:paraId="6FAFF186">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第十七条</w:t>
      </w:r>
      <w:r>
        <w:rPr>
          <w:rFonts w:hint="eastAsia" w:ascii="宋体" w:hAnsi="宋体" w:cs="宋体"/>
          <w:color w:val="auto"/>
          <w:sz w:val="24"/>
        </w:rPr>
        <w:t xml:space="preserve">  因特殊情况未按规定使用公务卡的，必须写明原因，经分管财务院领导审批后方能报销。</w:t>
      </w:r>
    </w:p>
    <w:p w14:paraId="7553F43B">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r>
        <w:rPr>
          <w:rFonts w:hint="eastAsia"/>
          <w:b/>
          <w:bCs/>
          <w:color w:val="auto"/>
        </w:rPr>
        <w:t xml:space="preserve"> </w:t>
      </w:r>
      <w:bookmarkStart w:id="14" w:name="_Toc5929"/>
      <w:bookmarkStart w:id="15" w:name="_Toc1262"/>
      <w:r>
        <w:rPr>
          <w:rFonts w:hint="eastAsia"/>
          <w:b/>
          <w:bCs/>
          <w:color w:val="auto"/>
        </w:rPr>
        <w:t>第五章  借款业务</w:t>
      </w:r>
      <w:bookmarkEnd w:id="14"/>
      <w:bookmarkEnd w:id="15"/>
    </w:p>
    <w:p w14:paraId="736791CB">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第十八条</w:t>
      </w:r>
      <w:r>
        <w:rPr>
          <w:rFonts w:hint="eastAsia" w:ascii="宋体" w:hAnsi="宋体" w:cs="宋体"/>
          <w:color w:val="auto"/>
          <w:sz w:val="24"/>
        </w:rPr>
        <w:t xml:space="preserve">  学院公款一律不得私借，确因公务业务需要，才能办理借款。借款人必须为学院在编人员，借款人办理借款时必须填写“汕头职业技术学院借款单”，将审批文件、合同等作为附件，按经济责任审批权限审批后，方可办理借款。款项借出后，借款人应及时还款或持有关合法票据到计划财务处办理冲账手续。</w:t>
      </w:r>
    </w:p>
    <w:p w14:paraId="5F2F66BD">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bookmarkStart w:id="16" w:name="OLE_LINK5"/>
      <w:r>
        <w:rPr>
          <w:rFonts w:hint="eastAsia" w:ascii="宋体" w:hAnsi="宋体" w:cs="宋体"/>
          <w:b/>
          <w:bCs/>
          <w:color w:val="auto"/>
          <w:sz w:val="24"/>
        </w:rPr>
        <w:t xml:space="preserve">第十九条 </w:t>
      </w:r>
      <w:r>
        <w:rPr>
          <w:rFonts w:hint="eastAsia" w:ascii="宋体" w:hAnsi="宋体" w:cs="宋体"/>
          <w:color w:val="auto"/>
          <w:sz w:val="24"/>
        </w:rPr>
        <w:t xml:space="preserve"> 因公借款一般按“前账未清，后账不借”的原则办理。若某类业务正在进行中导致“前账未清”的，经申请分管财务副院长同意，方可办理借款。</w:t>
      </w:r>
    </w:p>
    <w:p w14:paraId="3C44E774">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第二十条 </w:t>
      </w:r>
      <w:r>
        <w:rPr>
          <w:rFonts w:hint="eastAsia" w:ascii="宋体" w:hAnsi="宋体" w:cs="宋体"/>
          <w:color w:val="auto"/>
          <w:sz w:val="24"/>
        </w:rPr>
        <w:t xml:space="preserve"> 因办理收款业务需先行出具发票的情况下，预借发票（票据）人员（简称“借票人”）必须是我院在职人员，借票时须填写“借用发票申请单”，承诺交还日期并按规定的程序办理审批手续后方可借出。</w:t>
      </w:r>
    </w:p>
    <w:p w14:paraId="343D0C47">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第二十一条 </w:t>
      </w:r>
      <w:r>
        <w:rPr>
          <w:rFonts w:hint="eastAsia" w:ascii="宋体" w:hAnsi="宋体" w:cs="宋体"/>
          <w:color w:val="auto"/>
          <w:sz w:val="24"/>
        </w:rPr>
        <w:t xml:space="preserve"> 借票人应督促付款人在规定期限内及时将资金划入学院指定账号，否则由借票人承担一切经济责任。</w:t>
      </w:r>
    </w:p>
    <w:bookmarkEnd w:id="16"/>
    <w:p w14:paraId="7D094458">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17" w:name="_Toc19461"/>
      <w:bookmarkStart w:id="18" w:name="_Toc14300"/>
      <w:r>
        <w:rPr>
          <w:rFonts w:hint="eastAsia"/>
          <w:b/>
          <w:bCs/>
          <w:color w:val="auto"/>
        </w:rPr>
        <w:t>第六章  个人收入发放支出</w:t>
      </w:r>
      <w:bookmarkEnd w:id="17"/>
      <w:bookmarkEnd w:id="18"/>
    </w:p>
    <w:p w14:paraId="4EE381C8">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第二十二条</w:t>
      </w:r>
      <w:r>
        <w:rPr>
          <w:rFonts w:hint="eastAsia" w:ascii="宋体" w:hAnsi="宋体" w:cs="宋体"/>
          <w:color w:val="auto"/>
          <w:sz w:val="24"/>
        </w:rPr>
        <w:t xml:space="preserve">  学院个人收入发放包括教职工和离退休人员工资津贴、酬金、福利费，学生奖助学金、勤工助学费和外请人员劳务费等。人员支出费用标准执行上级及学院有关规定。</w:t>
      </w:r>
    </w:p>
    <w:p w14:paraId="30D77B74">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第二十三条</w:t>
      </w:r>
      <w:r>
        <w:rPr>
          <w:rFonts w:hint="eastAsia" w:ascii="宋体" w:hAnsi="宋体" w:cs="宋体"/>
          <w:color w:val="auto"/>
          <w:sz w:val="24"/>
        </w:rPr>
        <w:t xml:space="preserve">  各部门专项经费中无人员经费预算的不得开支人员支出费用，凡属部门职责范围内的工作，该部门参与人员一律不得发放劳务费；在校学生的有偿劳务，均通过勤工俭学活动安排开支。</w:t>
      </w:r>
    </w:p>
    <w:p w14:paraId="27249B1A">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第二十四条 </w:t>
      </w:r>
      <w:r>
        <w:rPr>
          <w:rFonts w:hint="eastAsia" w:ascii="宋体" w:hAnsi="宋体" w:cs="宋体"/>
          <w:color w:val="auto"/>
          <w:sz w:val="24"/>
        </w:rPr>
        <w:t xml:space="preserve"> 支付给校外人员的课酬、监考费、实习指导费、评审费等，必须填写发放申请表，原则上直接支付至校外人员提供的个人存款账户，如特殊情况需要支付现金，则须有本人签收或银行转账证明。填报发放申请表时，必须同时填报发放对象的身份证号码，便于代扣个人所得税。</w:t>
      </w:r>
    </w:p>
    <w:p w14:paraId="2D479B91">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第二十五条</w:t>
      </w:r>
      <w:r>
        <w:rPr>
          <w:rFonts w:hint="eastAsia" w:ascii="宋体" w:hAnsi="宋体" w:cs="宋体"/>
          <w:color w:val="auto"/>
          <w:sz w:val="24"/>
        </w:rPr>
        <w:t xml:space="preserve">  支付给学生的勤工俭学款或各类奖金，由经办人在计划财务处指定单据填写发放申请表，发放至学生银行账户，如特殊情况需要支付现金，必须提供学生本人联系电话、签收单。</w:t>
      </w:r>
    </w:p>
    <w:p w14:paraId="2E78E27F">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19" w:name="_Toc8268"/>
      <w:bookmarkStart w:id="20" w:name="_Toc5729"/>
      <w:r>
        <w:rPr>
          <w:rFonts w:hint="eastAsia"/>
          <w:b/>
          <w:bCs/>
          <w:color w:val="auto"/>
        </w:rPr>
        <w:t>第七章  采购支出</w:t>
      </w:r>
      <w:bookmarkEnd w:id="19"/>
      <w:bookmarkEnd w:id="20"/>
    </w:p>
    <w:p w14:paraId="2CE8F0EA">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第二十六条  </w:t>
      </w:r>
      <w:r>
        <w:rPr>
          <w:rFonts w:hint="eastAsia" w:ascii="宋体" w:hAnsi="宋体" w:cs="宋体"/>
          <w:color w:val="auto"/>
          <w:sz w:val="24"/>
        </w:rPr>
        <w:t>采购项目的支出执行学院的招标采购管理办法相关规定，按程序报批。</w:t>
      </w:r>
    </w:p>
    <w:p w14:paraId="4B7803E2">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 xml:space="preserve">（一）凡属于政府采购目录内的、或政府采购目录外但达到政府采购限额标准的项目，报账时须附政府采购计划备案表、采购合同原件连同发票以及按国库支付中心要求必须提供的其他相关资料； </w:t>
      </w:r>
    </w:p>
    <w:p w14:paraId="3D4E301E">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（二）凡部门自行采购的项目，采购前必须自行查阅对照当年度《汕头市政府集中采购目录及采购限额标准》文件，明确不属于政府集中采购目录规定的品目方可购买，否则，发生的经济业务不予报销；</w:t>
      </w:r>
    </w:p>
    <w:p w14:paraId="6AFD5535">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（三）凡属于政府采购目录外且未达到政府采购限额标准的项目，由部门自行组织实施采购的，报销时须按采购管理办法规定附采购记录，有合同的必须附上合同等相关资料。</w:t>
      </w:r>
    </w:p>
    <w:p w14:paraId="1C118B6A">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第二十七条</w:t>
      </w:r>
      <w:r>
        <w:rPr>
          <w:rFonts w:hint="eastAsia" w:ascii="宋体" w:hAnsi="宋体" w:cs="宋体"/>
          <w:color w:val="auto"/>
          <w:sz w:val="24"/>
        </w:rPr>
        <w:t xml:space="preserve">  使用期限超过一年，通用设备单价在1000元以上（含1000元）、专用设备单价1500元以上（含1500元），并在使用过程中基本保持原有物质形态的资产购置或能满足正常使用的自主研发产品应作固定资产核算和登记管理。</w:t>
      </w:r>
    </w:p>
    <w:p w14:paraId="08308245">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使用期限超过一年，单价500元以上且成批采购的同种类同规格型号的大批物资须按固定资产验收入账并参照固定资产管理。</w:t>
      </w:r>
    </w:p>
    <w:p w14:paraId="705E4645">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购入不构成相关硬件不可缺少组成部分的应用软件，单价1000元以上（含1000元）应作为无形资产核算管理。单件500元以上1000元以下，使用期限超过一年，在使用过程中基本保持原有物质形态的低值耐用品参照固定资产管理。</w:t>
      </w:r>
    </w:p>
    <w:p w14:paraId="33EA6D6A">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凡经批准购（建）置的固定资产（含低值耐用品）以及无形资产，报账前须按规定到归口管理部门办理资产或低值耐用品登记及领用手续，并填制固定资产增加单（一式四联），在验收合格后，凭资产验收单、验收报告（如有）、项目合同方可办理报销(属于政府采购项目的需要按政府采购相关要求提供资料)。学院房屋建筑物增减、设备类固定资产、软件、家具、低值易耗品归属总务处资产办管理。</w:t>
      </w:r>
    </w:p>
    <w:p w14:paraId="0F812D3E">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第二十八条 </w:t>
      </w:r>
      <w:r>
        <w:rPr>
          <w:rFonts w:hint="eastAsia" w:ascii="宋体" w:hAnsi="宋体" w:cs="宋体"/>
          <w:color w:val="auto"/>
          <w:sz w:val="24"/>
        </w:rPr>
        <w:t xml:space="preserve"> 材料费报销须附有效发票（汇总开票需有由税局指定开票系统开出并加盖供货单位发票专用章的材料清单），明确材料采购单价和数量，报销单由验收人签名确认。各部门应做好材料购买领用和结余登记，加强实物管理。药品、基建材料、维修材料应建立仓库管理制度，做好材料出入库登记，定期盘点并制作材料盘存表，年末应由财务人员参与盘点并将盘存表、盘盈盘亏审批表报送计划财务处留存。</w:t>
      </w:r>
    </w:p>
    <w:p w14:paraId="617BA9FF">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第二十九条</w:t>
      </w:r>
      <w:r>
        <w:rPr>
          <w:rFonts w:hint="eastAsia" w:ascii="宋体" w:hAnsi="宋体" w:cs="宋体"/>
          <w:color w:val="auto"/>
          <w:sz w:val="24"/>
        </w:rPr>
        <w:t xml:space="preserve">  教师的教材用书凭票实报实销，非教材类图书按以下原则处理：以横向纵向科研项目经费单次购置1000元（含1000元）以上的，或者以学院其他经费购置的都必须到图书馆办理固定资产登记方能报销，但以下情况除外：</w:t>
      </w:r>
    </w:p>
    <w:p w14:paraId="14C23791">
      <w:pPr>
        <w:keepNext w:val="0"/>
        <w:keepLines w:val="0"/>
        <w:pageBreakBefore w:val="0"/>
        <w:tabs>
          <w:tab w:val="left" w:pos="0"/>
        </w:tabs>
        <w:kinsoku/>
        <w:wordWrap/>
        <w:overflowPunct/>
        <w:topLinePunct w:val="0"/>
        <w:autoSpaceDE/>
        <w:autoSpaceDN/>
        <w:bidi w:val="0"/>
        <w:adjustRightInd/>
        <w:spacing w:line="440" w:lineRule="exact"/>
        <w:ind w:firstLine="480" w:firstLineChars="200"/>
        <w:outlineLvl w:val="1"/>
        <w:rPr>
          <w:rFonts w:ascii="宋体" w:hAnsi="宋体" w:cs="宋体"/>
          <w:color w:val="auto"/>
          <w:sz w:val="24"/>
        </w:rPr>
      </w:pPr>
      <w:r>
        <w:rPr>
          <w:rFonts w:hint="eastAsia" w:ascii="宋体" w:hAnsi="宋体" w:cs="宋体"/>
          <w:color w:val="auto"/>
          <w:sz w:val="24"/>
        </w:rPr>
        <w:t>各部门集体购买的图书如果是作为学习资料，培训资料或奖品等需要分发到学生或者教职工个人，图书资料无法多次多人使用，单册价格在200元以下的，可以不到图书馆进行固定资产登记，报账时需要提供由部门负责人签名的书面说明及个人领用签收表。</w:t>
      </w:r>
    </w:p>
    <w:p w14:paraId="2477B4BE">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第三十条</w:t>
      </w:r>
      <w:r>
        <w:rPr>
          <w:rFonts w:hint="eastAsia" w:ascii="宋体" w:hAnsi="宋体" w:cs="宋体"/>
          <w:color w:val="auto"/>
          <w:sz w:val="24"/>
        </w:rPr>
        <w:t xml:space="preserve">  使用横向纵向科研经费1000元以上，或使用其他经费200元以上购置电子书的，须自行在采购网站上打印购买清单（一式两份）或取得盖有供应商发票专用章的书目清单，携带采购清单、购书发票一起交由图书馆审核登记，经图书馆确认后计划财务处方给予报销付款。</w:t>
      </w:r>
    </w:p>
    <w:p w14:paraId="0846AFAC">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21" w:name="_Toc21334"/>
      <w:bookmarkStart w:id="22" w:name="_Toc28175"/>
      <w:r>
        <w:rPr>
          <w:rFonts w:hint="eastAsia"/>
          <w:b/>
          <w:bCs/>
          <w:color w:val="auto"/>
        </w:rPr>
        <w:t>第八章  差旅费支出</w:t>
      </w:r>
      <w:bookmarkEnd w:id="21"/>
      <w:bookmarkEnd w:id="22"/>
    </w:p>
    <w:p w14:paraId="59B2D359">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第三十一条</w:t>
      </w:r>
      <w:r>
        <w:rPr>
          <w:rFonts w:hint="eastAsia" w:ascii="宋体" w:hAnsi="宋体" w:cs="宋体"/>
          <w:color w:val="auto"/>
          <w:sz w:val="24"/>
        </w:rPr>
        <w:t xml:space="preserve"> 学院所有教职员工因公出差都必须按规定履行事前申报手续。差旅费的报销依据学院差旅费管理办法和学院考勤管理暂行办法相关规定执行。</w:t>
      </w:r>
    </w:p>
    <w:p w14:paraId="0C90592A">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23" w:name="_Toc6026"/>
      <w:bookmarkStart w:id="24" w:name="_Toc31616"/>
      <w:r>
        <w:rPr>
          <w:rFonts w:hint="eastAsia"/>
          <w:b/>
          <w:bCs/>
          <w:color w:val="auto"/>
        </w:rPr>
        <w:t>第九章  接待费支出</w:t>
      </w:r>
      <w:bookmarkEnd w:id="23"/>
      <w:bookmarkEnd w:id="24"/>
    </w:p>
    <w:p w14:paraId="73258F02">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第三十二条</w:t>
      </w:r>
      <w:r>
        <w:rPr>
          <w:rFonts w:hint="eastAsia" w:ascii="宋体" w:hAnsi="宋体" w:cs="宋体"/>
          <w:color w:val="auto"/>
          <w:sz w:val="24"/>
        </w:rPr>
        <w:t xml:space="preserve"> 学院严格控制公务接待费支出，公务接待支出按学院公务接待管理办法相关规定执行，公务接待原则上安排在校内餐厅用餐。</w:t>
      </w:r>
    </w:p>
    <w:p w14:paraId="614B9407">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color w:val="auto"/>
        </w:rPr>
      </w:pPr>
      <w:bookmarkStart w:id="25" w:name="_Toc2866"/>
      <w:bookmarkStart w:id="26" w:name="_Toc11303"/>
      <w:r>
        <w:rPr>
          <w:rFonts w:hint="eastAsia"/>
          <w:b/>
          <w:bCs/>
          <w:color w:val="auto"/>
        </w:rPr>
        <w:t>第十章  其他支出</w:t>
      </w:r>
      <w:bookmarkEnd w:id="25"/>
      <w:bookmarkEnd w:id="26"/>
    </w:p>
    <w:p w14:paraId="73E47B14">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第三十三条</w:t>
      </w:r>
      <w:r>
        <w:rPr>
          <w:rFonts w:hint="eastAsia" w:ascii="宋体" w:hAnsi="宋体" w:cs="宋体"/>
          <w:color w:val="auto"/>
          <w:sz w:val="24"/>
        </w:rPr>
        <w:t xml:space="preserve">  专项经费支出在专项经费使用范围内按照学院专项经费管理办法执行。</w:t>
      </w:r>
    </w:p>
    <w:p w14:paraId="2BB463E9">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第三十四条 </w:t>
      </w:r>
      <w:r>
        <w:rPr>
          <w:rFonts w:hint="eastAsia" w:ascii="宋体" w:hAnsi="宋体" w:cs="宋体"/>
          <w:color w:val="auto"/>
          <w:sz w:val="24"/>
        </w:rPr>
        <w:t xml:space="preserve"> 专项经费使用必须符合项目资金下达给部门时的规定，严格执行预算或合同约定，并遵从勤俭节约和实事求是原则，合理开支。</w:t>
      </w:r>
    </w:p>
    <w:p w14:paraId="00DFD8E6">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第三十五条</w:t>
      </w:r>
      <w:r>
        <w:rPr>
          <w:rFonts w:hint="eastAsia" w:ascii="宋体" w:hAnsi="宋体" w:cs="宋体"/>
          <w:color w:val="auto"/>
          <w:sz w:val="24"/>
        </w:rPr>
        <w:t xml:space="preserve">  科研协作费划转必须提供任务书及与协作单位签订的合作协议，合作协议与任务书拨付经费的相关内容、收款人必须一致。 </w:t>
      </w:r>
    </w:p>
    <w:p w14:paraId="30CA983E">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第三十六条</w:t>
      </w:r>
      <w:r>
        <w:rPr>
          <w:rFonts w:hint="eastAsia" w:ascii="宋体" w:hAnsi="宋体" w:cs="宋体"/>
          <w:color w:val="auto"/>
          <w:sz w:val="24"/>
        </w:rPr>
        <w:t xml:space="preserve">  会议、学生军训、学生晚会或招聘会等大型活动的餐费支出，原则上安排在校内餐厅用餐，凭活动审批文件、供餐清单及发票在规定标准内结算报销。</w:t>
      </w:r>
    </w:p>
    <w:p w14:paraId="075201F1">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第三十七条</w:t>
      </w:r>
      <w:r>
        <w:rPr>
          <w:rFonts w:hint="eastAsia" w:ascii="宋体" w:hAnsi="宋体" w:cs="宋体"/>
          <w:color w:val="auto"/>
          <w:sz w:val="24"/>
        </w:rPr>
        <w:t xml:space="preserve">  机动费开支。学院机动费是用于无预算或超预算的必要开支。机动费由院长掌握，确需使用时由职能部门报分管院领导拟办意见，再报送院长审批；10万元以上的业务按程序报院长办公会审议、党委会审议后，依据会议纪要审批。</w:t>
      </w:r>
    </w:p>
    <w:p w14:paraId="5728E650">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27" w:name="_Toc4944"/>
      <w:bookmarkStart w:id="28" w:name="_Toc8063"/>
      <w:r>
        <w:rPr>
          <w:rFonts w:hint="eastAsia"/>
          <w:b/>
          <w:bCs/>
          <w:color w:val="auto"/>
        </w:rPr>
        <w:t>第十一章  检查和监督</w:t>
      </w:r>
      <w:bookmarkEnd w:id="27"/>
      <w:bookmarkEnd w:id="28"/>
    </w:p>
    <w:p w14:paraId="5ADCCB94">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第三十八条</w:t>
      </w:r>
      <w:r>
        <w:rPr>
          <w:rFonts w:hint="eastAsia" w:ascii="宋体" w:hAnsi="宋体" w:cs="宋体"/>
          <w:color w:val="auto"/>
          <w:sz w:val="24"/>
        </w:rPr>
        <w:t xml:space="preserve">  经费使用人和项目负责人、部门负责人是学院支付业务的直接责任人，对经费开支的真实性、合理性、合规性、相关性和效益性全权负责并承担法律责任。计划财务处按照经费预算及财经规定审核支出的合规性和报账手续的完整性，并对支出业务的真实性、合理性和相关性予以监督。 </w:t>
      </w:r>
    </w:p>
    <w:p w14:paraId="3BB09BC8">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第三十九条 </w:t>
      </w:r>
      <w:r>
        <w:rPr>
          <w:rFonts w:hint="eastAsia" w:ascii="宋体" w:hAnsi="宋体" w:cs="宋体"/>
          <w:color w:val="auto"/>
          <w:sz w:val="24"/>
        </w:rPr>
        <w:t xml:space="preserve"> 审计室根据审计职责、年度审计计划及学院的安排对学院及部门财务收支情况进行审计监督，对发现问题要求限时整改，对拒不整改及涉嫌违法违纪的移交学院纪检办查处。</w:t>
      </w:r>
    </w:p>
    <w:p w14:paraId="217B77FD">
      <w:pPr>
        <w:pStyle w:val="3"/>
        <w:keepNext w:val="0"/>
        <w:keepLines w:val="0"/>
        <w:pageBreakBefore w:val="0"/>
        <w:widowControl w:val="0"/>
        <w:kinsoku/>
        <w:wordWrap/>
        <w:overflowPunct/>
        <w:topLinePunct w:val="0"/>
        <w:autoSpaceDE/>
        <w:autoSpaceDN/>
        <w:bidi w:val="0"/>
        <w:adjustRightInd/>
        <w:spacing w:before="156" w:beforeLines="50" w:beforeAutospacing="0" w:after="156" w:afterLines="50" w:afterAutospacing="0" w:line="440" w:lineRule="exact"/>
        <w:jc w:val="center"/>
        <w:textAlignment w:val="auto"/>
        <w:outlineLvl w:val="1"/>
        <w:rPr>
          <w:b/>
          <w:bCs/>
          <w:color w:val="auto"/>
        </w:rPr>
      </w:pPr>
      <w:bookmarkStart w:id="29" w:name="_Toc5661"/>
      <w:bookmarkStart w:id="30" w:name="_Toc21700"/>
      <w:r>
        <w:rPr>
          <w:rFonts w:hint="eastAsia"/>
          <w:b/>
          <w:bCs/>
          <w:color w:val="auto"/>
        </w:rPr>
        <w:t>第十二章  附 则</w:t>
      </w:r>
      <w:bookmarkEnd w:id="29"/>
      <w:bookmarkEnd w:id="30"/>
    </w:p>
    <w:p w14:paraId="16944EF6">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ascii="宋体" w:hAnsi="宋体" w:cs="宋体"/>
          <w:color w:val="auto"/>
          <w:sz w:val="24"/>
        </w:rPr>
      </w:pPr>
      <w:r>
        <w:rPr>
          <w:rFonts w:hint="eastAsia" w:ascii="宋体" w:hAnsi="宋体" w:cs="宋体"/>
          <w:b/>
          <w:bCs/>
          <w:color w:val="auto"/>
          <w:sz w:val="24"/>
        </w:rPr>
        <w:t xml:space="preserve">第四十条 </w:t>
      </w:r>
      <w:r>
        <w:rPr>
          <w:rFonts w:hint="eastAsia" w:ascii="宋体" w:hAnsi="宋体" w:cs="宋体"/>
          <w:color w:val="auto"/>
          <w:sz w:val="24"/>
        </w:rPr>
        <w:t xml:space="preserve"> 本办法所称“以上”包含本数，“以下”不含本数。</w:t>
      </w:r>
    </w:p>
    <w:p w14:paraId="0027DC67">
      <w:pPr>
        <w:keepNext w:val="0"/>
        <w:keepLines w:val="0"/>
        <w:pageBreakBefore w:val="0"/>
        <w:tabs>
          <w:tab w:val="left" w:pos="0"/>
        </w:tabs>
        <w:kinsoku/>
        <w:wordWrap/>
        <w:overflowPunct/>
        <w:topLinePunct w:val="0"/>
        <w:autoSpaceDE/>
        <w:autoSpaceDN/>
        <w:bidi w:val="0"/>
        <w:adjustRightInd/>
        <w:spacing w:line="440" w:lineRule="exact"/>
        <w:ind w:firstLine="482" w:firstLineChars="200"/>
        <w:outlineLvl w:val="1"/>
        <w:rPr>
          <w:rFonts w:hint="eastAsia" w:ascii="宋体" w:hAnsi="宋体" w:cs="宋体"/>
          <w:color w:val="auto"/>
          <w:sz w:val="24"/>
        </w:rPr>
      </w:pPr>
      <w:r>
        <w:rPr>
          <w:rFonts w:hint="eastAsia" w:ascii="宋体" w:hAnsi="宋体" w:cs="宋体"/>
          <w:b/>
          <w:bCs/>
          <w:color w:val="auto"/>
          <w:sz w:val="24"/>
        </w:rPr>
        <w:t>第四十一条</w:t>
      </w:r>
      <w:r>
        <w:rPr>
          <w:rFonts w:hint="eastAsia" w:ascii="宋体" w:hAnsi="宋体" w:cs="宋体"/>
          <w:color w:val="auto"/>
          <w:sz w:val="24"/>
        </w:rPr>
        <w:t xml:space="preserve">  本办法由计划财务处负责解释。</w:t>
      </w:r>
    </w:p>
    <w:p w14:paraId="0B758D97">
      <w:r>
        <w:rPr>
          <w:rFonts w:hint="eastAsia" w:ascii="宋体" w:hAnsi="宋体" w:cs="宋体"/>
          <w:b/>
          <w:bCs/>
          <w:color w:val="auto"/>
          <w:sz w:val="24"/>
        </w:rPr>
        <w:t>第四十二条</w:t>
      </w:r>
      <w:r>
        <w:rPr>
          <w:rFonts w:hint="eastAsia" w:ascii="宋体" w:hAnsi="宋体" w:cs="宋体"/>
          <w:color w:val="auto"/>
          <w:sz w:val="24"/>
        </w:rPr>
        <w:t xml:space="preserve">  本办法自公布之日起施行，之前执行的《汕头职业技术学院经费开支管理办法（试行）》（汕职院发〔2019〕7号）同时废止，与此文件相冲突的其他规定，以此文件规定为准。</w:t>
      </w: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2C713FB0"/>
    <w:rsid w:val="2C713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561" w:lineRule="exact"/>
      <w:ind w:left="1181"/>
      <w:outlineLvl w:val="0"/>
    </w:pPr>
    <w:rPr>
      <w:rFonts w:ascii="宋体" w:hAnsi="宋体" w:eastAsia="宋体" w:cs="宋体"/>
      <w:b/>
      <w:bCs/>
      <w:sz w:val="28"/>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
    <w:name w:val="样式1"/>
    <w:basedOn w:val="1"/>
    <w:qFormat/>
    <w:uiPriority w:val="99"/>
    <w:pPr>
      <w:snapToGrid w:val="0"/>
      <w:spacing w:line="640" w:lineRule="exact"/>
      <w:jc w:val="center"/>
    </w:pPr>
    <w:rPr>
      <w:rFonts w:eastAsia="文鼎小标宋简" w:cs="宋体" w:hAnsiTheme="minorHAnsi"/>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2024-09-01T15:54:00Z</dcterms:created>
  <dc:creator>WPS_1713152101</dc:creator>
  <cp:lastModifiedBy>WPS_1713152101</cp:lastModifiedBy>
  <dcterms:modified xsi:type="dcterms:W3CDTF">2024-09-01T15:54:43Z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D42BE79C8C484B3C991FCC63D7C82B78_11</vt:lpwstr>
  </property>
</Properties>
</file>